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E578C8A" w:rsidR="00D92381" w:rsidRPr="00D263E1" w:rsidRDefault="00993325" w:rsidP="00D92381">
      <w:pPr>
        <w:rPr>
          <w:szCs w:val="22"/>
          <w:lang w:val="da-DK"/>
        </w:rPr>
      </w:pPr>
      <w:r w:rsidRPr="00D263E1">
        <w:rPr>
          <w:szCs w:val="22"/>
          <w:lang w:val="da-DK"/>
        </w:rPr>
        <w:t xml:space="preserve">Ja, over het algemeen vindt </w:t>
      </w:r>
      <w:r w:rsidR="00FA4977">
        <w:rPr>
          <w:szCs w:val="22"/>
          <w:lang w:val="da-DK"/>
        </w:rPr>
        <w:t>een</w:t>
      </w:r>
      <w:r w:rsidRPr="00D263E1">
        <w:rPr>
          <w:szCs w:val="22"/>
          <w:lang w:val="da-DK"/>
        </w:rPr>
        <w:t xml:space="preserv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w:t>
      </w:r>
      <w:r w:rsidR="00FA4977">
        <w:rPr>
          <w:szCs w:val="22"/>
          <w:lang w:val="da-DK"/>
        </w:rPr>
        <w:t xml:space="preserve"> De rechter gebruikt de comparitie voor het verzamelen van verdere informatie en gegevens en voorts voor het beproeven van een minnelijke regeling. </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2E103090" w14:textId="7631404F" w:rsidR="005A62CB" w:rsidRDefault="005A62CB" w:rsidP="005A62CB">
      <w:pPr>
        <w:rPr>
          <w:szCs w:val="22"/>
        </w:rPr>
      </w:pPr>
      <w:r>
        <w:rPr>
          <w:szCs w:val="22"/>
        </w:rPr>
        <w:t xml:space="preserve">Ja dat kan en is mogelijk zelfs raadzaam. </w:t>
      </w: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0D03953C" w14:textId="77777777" w:rsidR="009936EC" w:rsidRPr="00D263E1" w:rsidRDefault="009936EC"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4014A98F"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w:t>
      </w:r>
      <w:r w:rsidR="00FA4977">
        <w:rPr>
          <w:szCs w:val="22"/>
        </w:rPr>
        <w:t xml:space="preserve"> (</w:t>
      </w:r>
      <w:r w:rsidR="007B4E52">
        <w:rPr>
          <w:szCs w:val="22"/>
        </w:rPr>
        <w:t xml:space="preserve">art. </w:t>
      </w:r>
      <w:r w:rsidR="00FA4977">
        <w:rPr>
          <w:szCs w:val="22"/>
        </w:rPr>
        <w:t>99 Rv)</w:t>
      </w:r>
      <w:r w:rsidRPr="00D263E1">
        <w:rPr>
          <w:szCs w:val="22"/>
        </w:rPr>
        <w:t>, Rotterdam, of de plaats waar gewoonlijk de arbeid wordt verricht, Utrecht</w:t>
      </w:r>
      <w:r w:rsidR="00FA4977">
        <w:rPr>
          <w:szCs w:val="22"/>
        </w:rPr>
        <w:t xml:space="preserve"> (</w:t>
      </w:r>
      <w:r w:rsidR="007B4E52">
        <w:rPr>
          <w:szCs w:val="22"/>
        </w:rPr>
        <w:t xml:space="preserve">art. </w:t>
      </w:r>
      <w:r w:rsidR="00FA4977">
        <w:rPr>
          <w:szCs w:val="22"/>
        </w:rPr>
        <w:t>100 Rv)</w:t>
      </w:r>
      <w:r w:rsidRPr="00D263E1">
        <w:rPr>
          <w:szCs w:val="22"/>
        </w:rPr>
        <w: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w:t>
      </w:r>
      <w:proofErr w:type="spellStart"/>
      <w:r w:rsidRPr="00D263E1">
        <w:rPr>
          <w:szCs w:val="22"/>
        </w:rPr>
        <w:t>bedrijfs</w:t>
      </w:r>
      <w:proofErr w:type="spellEnd"/>
      <w:r w:rsidRPr="00D263E1">
        <w:rPr>
          <w:szCs w:val="22"/>
        </w:rPr>
        <w:t>)jurist.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72DCA387" w14:textId="4CBF8BBA" w:rsidR="005A62CB" w:rsidRPr="00D263E1" w:rsidRDefault="005A62CB" w:rsidP="00503A71">
      <w:pPr>
        <w:spacing w:after="200" w:line="276" w:lineRule="auto"/>
        <w:rPr>
          <w:szCs w:val="22"/>
        </w:rPr>
      </w:pPr>
    </w:p>
    <w:sectPr w:rsidR="005A62CB" w:rsidRPr="00D263E1" w:rsidSect="00CD2196">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D388" w14:textId="77777777" w:rsidR="003257B4" w:rsidRDefault="003257B4" w:rsidP="0080122A">
      <w:r>
        <w:separator/>
      </w:r>
    </w:p>
  </w:endnote>
  <w:endnote w:type="continuationSeparator" w:id="0">
    <w:p w14:paraId="02A97862" w14:textId="77777777" w:rsidR="003257B4" w:rsidRDefault="003257B4"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7CD5" w14:textId="55BDB991"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1322D5">
          <w:rPr>
            <w:noProof/>
            <w:sz w:val="18"/>
            <w:szCs w:val="18"/>
          </w:rPr>
          <w:t>2</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695B" w14:textId="77777777" w:rsidR="003257B4" w:rsidRDefault="003257B4" w:rsidP="0080122A">
      <w:r>
        <w:separator/>
      </w:r>
    </w:p>
  </w:footnote>
  <w:footnote w:type="continuationSeparator" w:id="0">
    <w:p w14:paraId="3244089D" w14:textId="77777777" w:rsidR="003257B4" w:rsidRDefault="003257B4"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A224" w14:textId="0698C9B4"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w:t>
    </w:r>
    <w:r w:rsidR="00503A71">
      <w:rPr>
        <w:rFonts w:ascii="Times New Roman" w:hAnsi="Times New Roman"/>
        <w:b/>
        <w:bCs/>
        <w:i/>
        <w:sz w:val="22"/>
        <w:szCs w:val="22"/>
      </w:rPr>
      <w:t>PDL</w:t>
    </w:r>
    <w:r w:rsidRPr="00D263E1">
      <w:rPr>
        <w:rFonts w:ascii="Times New Roman" w:hAnsi="Times New Roman"/>
        <w:b/>
        <w:bCs/>
        <w:i/>
        <w:sz w:val="22"/>
        <w:szCs w:val="22"/>
      </w:rPr>
      <w:t xml:space="preserve"> ASZ niveau </w:t>
    </w:r>
    <w:r w:rsidR="00503A71">
      <w:rPr>
        <w:rFonts w:ascii="Times New Roman" w:hAnsi="Times New Roman"/>
        <w:b/>
        <w:bCs/>
        <w:i/>
        <w:sz w:val="22"/>
        <w:szCs w:val="22"/>
      </w:rPr>
      <w:t>4</w:t>
    </w:r>
    <w:r w:rsidRPr="00D263E1">
      <w:rPr>
        <w:rFonts w:ascii="Times New Roman" w:hAnsi="Times New Roman"/>
        <w:b/>
        <w:bCs/>
        <w:i/>
        <w:sz w:val="22"/>
        <w:szCs w:val="22"/>
      </w:rPr>
      <w:t xml:space="preserve">, </w:t>
    </w:r>
    <w:r w:rsidR="00761E98" w:rsidRPr="00D263E1">
      <w:rPr>
        <w:rFonts w:ascii="Times New Roman" w:hAnsi="Times New Roman"/>
        <w:b/>
        <w:bCs/>
        <w:i/>
        <w:sz w:val="22"/>
        <w:szCs w:val="22"/>
      </w:rPr>
      <w:t>202</w:t>
    </w:r>
    <w:r w:rsidR="00B06AE6">
      <w:rPr>
        <w:rFonts w:ascii="Times New Roman" w:hAnsi="Times New Roman"/>
        <w:b/>
        <w:bCs/>
        <w:i/>
        <w:sz w:val="22"/>
        <w:szCs w:val="22"/>
      </w:rPr>
      <w:t>5</w:t>
    </w:r>
    <w:r w:rsidR="00761E98" w:rsidRPr="00D263E1">
      <w:rPr>
        <w:rFonts w:ascii="Times New Roman" w:hAnsi="Times New Roman"/>
        <w:b/>
        <w:bCs/>
        <w:i/>
        <w:sz w:val="22"/>
        <w:szCs w:val="22"/>
      </w:rPr>
      <w:t>/202</w:t>
    </w:r>
    <w:r w:rsidR="00B06AE6">
      <w:rPr>
        <w:rFonts w:ascii="Times New Roman" w:hAnsi="Times New Roman"/>
        <w:b/>
        <w:bCs/>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73876906">
    <w:abstractNumId w:val="4"/>
  </w:num>
  <w:num w:numId="2" w16cid:durableId="651909623">
    <w:abstractNumId w:val="1"/>
  </w:num>
  <w:num w:numId="3" w16cid:durableId="2084523040">
    <w:abstractNumId w:val="2"/>
  </w:num>
  <w:num w:numId="4" w16cid:durableId="1682506124">
    <w:abstractNumId w:val="0"/>
  </w:num>
  <w:num w:numId="5" w16cid:durableId="78034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462E0"/>
    <w:rsid w:val="00051709"/>
    <w:rsid w:val="00074A2A"/>
    <w:rsid w:val="000E53A3"/>
    <w:rsid w:val="001322D5"/>
    <w:rsid w:val="00162A33"/>
    <w:rsid w:val="0016704B"/>
    <w:rsid w:val="00173A81"/>
    <w:rsid w:val="00186494"/>
    <w:rsid w:val="001A2392"/>
    <w:rsid w:val="00224D1D"/>
    <w:rsid w:val="00254E55"/>
    <w:rsid w:val="002B03E9"/>
    <w:rsid w:val="002B26CE"/>
    <w:rsid w:val="002C3997"/>
    <w:rsid w:val="0031762E"/>
    <w:rsid w:val="003257B4"/>
    <w:rsid w:val="00325B55"/>
    <w:rsid w:val="00331EE0"/>
    <w:rsid w:val="003636F7"/>
    <w:rsid w:val="00367D3A"/>
    <w:rsid w:val="0038206C"/>
    <w:rsid w:val="00396479"/>
    <w:rsid w:val="00397279"/>
    <w:rsid w:val="003A6196"/>
    <w:rsid w:val="003C28E8"/>
    <w:rsid w:val="003E26B7"/>
    <w:rsid w:val="00413070"/>
    <w:rsid w:val="00457810"/>
    <w:rsid w:val="00470A69"/>
    <w:rsid w:val="00476214"/>
    <w:rsid w:val="00501800"/>
    <w:rsid w:val="00503A71"/>
    <w:rsid w:val="00524483"/>
    <w:rsid w:val="00533AC4"/>
    <w:rsid w:val="00547350"/>
    <w:rsid w:val="00585797"/>
    <w:rsid w:val="005A496E"/>
    <w:rsid w:val="005A62CB"/>
    <w:rsid w:val="005B3177"/>
    <w:rsid w:val="005C6066"/>
    <w:rsid w:val="005D1EF7"/>
    <w:rsid w:val="005E13BB"/>
    <w:rsid w:val="0061279A"/>
    <w:rsid w:val="00612E90"/>
    <w:rsid w:val="00635994"/>
    <w:rsid w:val="00691CD2"/>
    <w:rsid w:val="00692068"/>
    <w:rsid w:val="00693948"/>
    <w:rsid w:val="006C643C"/>
    <w:rsid w:val="00714945"/>
    <w:rsid w:val="00743962"/>
    <w:rsid w:val="00761E98"/>
    <w:rsid w:val="00787043"/>
    <w:rsid w:val="0079713D"/>
    <w:rsid w:val="007B1031"/>
    <w:rsid w:val="007B4E52"/>
    <w:rsid w:val="007B5406"/>
    <w:rsid w:val="007C3A0F"/>
    <w:rsid w:val="007C5971"/>
    <w:rsid w:val="007C67A0"/>
    <w:rsid w:val="007C7850"/>
    <w:rsid w:val="007E540D"/>
    <w:rsid w:val="007F16FF"/>
    <w:rsid w:val="0080122A"/>
    <w:rsid w:val="008354EE"/>
    <w:rsid w:val="00842AFF"/>
    <w:rsid w:val="0087792C"/>
    <w:rsid w:val="0088284F"/>
    <w:rsid w:val="008B1EFA"/>
    <w:rsid w:val="008C6F5E"/>
    <w:rsid w:val="008F3154"/>
    <w:rsid w:val="00917D61"/>
    <w:rsid w:val="0094122F"/>
    <w:rsid w:val="0094398B"/>
    <w:rsid w:val="00943A9B"/>
    <w:rsid w:val="00944C4E"/>
    <w:rsid w:val="00993325"/>
    <w:rsid w:val="009936EC"/>
    <w:rsid w:val="009E5E65"/>
    <w:rsid w:val="00A05AE0"/>
    <w:rsid w:val="00A1519C"/>
    <w:rsid w:val="00A42D69"/>
    <w:rsid w:val="00A839A0"/>
    <w:rsid w:val="00AB1AD1"/>
    <w:rsid w:val="00B06AE6"/>
    <w:rsid w:val="00B52697"/>
    <w:rsid w:val="00B5286B"/>
    <w:rsid w:val="00B7553E"/>
    <w:rsid w:val="00B85C12"/>
    <w:rsid w:val="00B94A37"/>
    <w:rsid w:val="00C42037"/>
    <w:rsid w:val="00C50101"/>
    <w:rsid w:val="00C66F2B"/>
    <w:rsid w:val="00CB2210"/>
    <w:rsid w:val="00CB53EA"/>
    <w:rsid w:val="00D177A6"/>
    <w:rsid w:val="00D263E1"/>
    <w:rsid w:val="00D92381"/>
    <w:rsid w:val="00D942A0"/>
    <w:rsid w:val="00DC28D7"/>
    <w:rsid w:val="00DD49C4"/>
    <w:rsid w:val="00EC6A48"/>
    <w:rsid w:val="00EE1AA2"/>
    <w:rsid w:val="00F04C67"/>
    <w:rsid w:val="00F20FE8"/>
    <w:rsid w:val="00F746E0"/>
    <w:rsid w:val="00FA4977"/>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7394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F4B7C-4B6F-4828-BB46-072C2ACDB7B5}">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C7030C5C-7A5D-4C8B-88B2-8027D546DF19}"/>
</file>

<file path=customXml/itemProps3.xml><?xml version="1.0" encoding="utf-8"?>
<ds:datastoreItem xmlns:ds="http://schemas.openxmlformats.org/officeDocument/2006/customXml" ds:itemID="{07E56992-4B58-4715-A7C6-7278DBC87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dcterms:created xsi:type="dcterms:W3CDTF">2025-06-03T10:27:00Z</dcterms:created>
  <dcterms:modified xsi:type="dcterms:W3CDTF">2025-06-03T10:28:00Z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3052800</vt:r8>
  </property>
  <property fmtid="{D5CDD505-2E9C-101B-9397-08002B2CF9AE}" pid="4" name="MediaServiceImageTags">
    <vt:lpwstr/>
  </property>
</Properties>
</file>