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5D" w:rsidRDefault="002119B6" w:rsidP="0026740F">
      <w:pPr>
        <w:spacing w:after="0" w:line="240" w:lineRule="auto"/>
        <w:rPr>
          <w:rFonts w:eastAsia="Calibri"/>
          <w:sz w:val="28"/>
        </w:rPr>
      </w:pPr>
      <w:r>
        <w:rPr>
          <w:sz w:val="28"/>
        </w:rPr>
        <w:t xml:space="preserve">Uitwerkingen hoofdstuk 15: </w:t>
      </w:r>
      <w:r w:rsidR="00467B73" w:rsidRPr="00F77A31">
        <w:rPr>
          <w:rFonts w:eastAsia="Calibri"/>
          <w:sz w:val="28"/>
        </w:rPr>
        <w:t>Wettelijke regelingen in verband met de jaarrekening</w:t>
      </w:r>
    </w:p>
    <w:p w:rsidR="00F0785D" w:rsidRDefault="00F0785D" w:rsidP="0026740F">
      <w:pPr>
        <w:spacing w:after="0" w:line="240" w:lineRule="auto"/>
        <w:rPr>
          <w:rFonts w:eastAsia="Calibri"/>
          <w:sz w:val="2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15.1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Ondernemingen met rechtspersoonlijkheid zijn verplicht om jaarlijks aan externe</w:t>
      </w:r>
      <w:r w:rsidR="0053357F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belanghebbenden verantwoording af te leggen over de bedrijfsresultaten en het gevoerde beleid.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15.2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Stakeholders zijn externe belanghebbenden.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15.3 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Stakeholders van Schiphol zijn Airlines, reizigers, omwonenden, overheden, aandeelhouders, medewerkers, sectorpartners (denk aan beveiliging, NS </w:t>
      </w:r>
      <w:r w:rsidR="0053357F">
        <w:rPr>
          <w:rFonts w:eastAsia="Calibri"/>
          <w:b w:val="0"/>
        </w:rPr>
        <w:t>enz.</w:t>
      </w:r>
      <w:r w:rsidRPr="00461A38">
        <w:rPr>
          <w:rFonts w:eastAsia="Calibri"/>
          <w:b w:val="0"/>
        </w:rPr>
        <w:t>).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proofErr w:type="spellStart"/>
      <w:r w:rsidRPr="00F0785D">
        <w:rPr>
          <w:rFonts w:eastAsia="Calibri"/>
          <w:lang w:val="en-GB"/>
        </w:rPr>
        <w:t>Opgave</w:t>
      </w:r>
      <w:proofErr w:type="spellEnd"/>
      <w:r w:rsidRPr="00F0785D">
        <w:rPr>
          <w:rFonts w:eastAsia="Calibri"/>
          <w:lang w:val="en-GB"/>
        </w:rPr>
        <w:t xml:space="preserve"> 15.4 </w:t>
      </w: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413379">
        <w:rPr>
          <w:rFonts w:eastAsia="Calibri"/>
          <w:b w:val="0"/>
          <w:lang w:val="en-GB"/>
        </w:rPr>
        <w:t>a.</w:t>
      </w:r>
      <w:r w:rsidRPr="00413379">
        <w:rPr>
          <w:rFonts w:eastAsia="Calibri"/>
          <w:b w:val="0"/>
          <w:lang w:val="en-GB"/>
        </w:rPr>
        <w:tab/>
      </w:r>
      <w:r w:rsidR="00467B73" w:rsidRPr="00F0785D">
        <w:rPr>
          <w:rFonts w:eastAsia="Calibri"/>
          <w:b w:val="0"/>
          <w:lang w:val="en-GB"/>
        </w:rPr>
        <w:t xml:space="preserve">GAAP </w:t>
      </w:r>
      <w:proofErr w:type="spellStart"/>
      <w:r w:rsidR="00467B73" w:rsidRPr="00F0785D">
        <w:rPr>
          <w:rFonts w:eastAsia="Calibri"/>
          <w:b w:val="0"/>
          <w:lang w:val="en-GB"/>
        </w:rPr>
        <w:t>staat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</w:t>
      </w:r>
      <w:proofErr w:type="spellStart"/>
      <w:r w:rsidR="00467B73" w:rsidRPr="00F0785D">
        <w:rPr>
          <w:rFonts w:eastAsia="Calibri"/>
          <w:b w:val="0"/>
          <w:lang w:val="en-GB"/>
        </w:rPr>
        <w:t>voor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Generally Accepted Accounting Principles</w:t>
      </w:r>
      <w:r w:rsidR="0053357F">
        <w:rPr>
          <w:rFonts w:eastAsia="Calibri"/>
          <w:b w:val="0"/>
          <w:lang w:val="en-GB"/>
        </w:rPr>
        <w:t>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b.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De volgende bronnen zijn onderdeel van de NL-GAAP: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Boek 2 Titel 9 van het Burgerlijk Wetboek (BW)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Richtlijnen voor de Jaarverslaggeving voor middelgrote en grote rechtspersonen (RJ)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Richtlijnen voor de Jaarverslaggeving voor micro- en kleine rechtspersonen (</w:t>
      </w:r>
      <w:proofErr w:type="spellStart"/>
      <w:r w:rsidRPr="00461A38">
        <w:rPr>
          <w:rFonts w:eastAsia="Calibri"/>
          <w:b w:val="0"/>
        </w:rPr>
        <w:t>RjK</w:t>
      </w:r>
      <w:proofErr w:type="spellEnd"/>
      <w:r w:rsidRPr="00461A38">
        <w:rPr>
          <w:rFonts w:eastAsia="Calibri"/>
          <w:b w:val="0"/>
        </w:rPr>
        <w:t>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uitspraken van de Ondernemingskamer (OK)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jurisprudentie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De volgende rechtspersonen vallen onder de GAAP: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naamloze vennootschappen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besloten vennootschappen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coöperaties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onderlinge waarborgmaatschappijen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commerciële stichtingen</w:t>
      </w:r>
    </w:p>
    <w:p w:rsidR="00F0785D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commerciële verenigingen</w:t>
      </w:r>
    </w:p>
    <w:p w:rsidR="00F0785D" w:rsidRDefault="00F0785D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  <w:r w:rsidRPr="00461A38">
        <w:rPr>
          <w:rFonts w:eastAsia="Calibri"/>
          <w:b w:val="0"/>
          <w:szCs w:val="26"/>
          <w:shd w:val="clear" w:color="auto" w:fill="FFFFFF"/>
        </w:rPr>
        <w:t>De informatie in de jaarrekening moet relevant zijn. Dit betekent dat de gebruiker in staat moet worden gesteld om vroegere, huidige en toekomstige gebeurtenissen te beoordelen.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  <w:r w:rsidRPr="00461A38">
        <w:rPr>
          <w:rFonts w:eastAsia="Calibri"/>
          <w:b w:val="0"/>
        </w:rPr>
        <w:t>Betrouwbaar betekent dat i</w:t>
      </w:r>
      <w:r w:rsidRPr="00461A38">
        <w:rPr>
          <w:rFonts w:eastAsia="Calibri"/>
          <w:b w:val="0"/>
          <w:szCs w:val="26"/>
          <w:shd w:val="clear" w:color="auto" w:fill="FFFFFF"/>
        </w:rPr>
        <w:t>n de jaarrekening geen onjuistheden of vooroordelen mogen staan.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</w:t>
      </w:r>
    </w:p>
    <w:p w:rsidR="00F0785D" w:rsidRDefault="00467B73" w:rsidP="0026740F">
      <w:pPr>
        <w:spacing w:after="0" w:line="240" w:lineRule="auto"/>
        <w:rPr>
          <w:rFonts w:eastAsia="Calibri"/>
          <w:b w:val="0"/>
          <w:shd w:val="clear" w:color="auto" w:fill="FFFFFF"/>
        </w:rPr>
      </w:pPr>
      <w:r w:rsidRPr="00461A38">
        <w:rPr>
          <w:rFonts w:eastAsia="Calibri"/>
          <w:b w:val="0"/>
          <w:shd w:val="clear" w:color="auto" w:fill="FFFFFF"/>
        </w:rPr>
        <w:t>De jaarrekening moet vergelijkbaar zijn met die van andere organisaties. Dit betekent onder meer dat een onderneming moet rapporteren zoals gebruikelijk is binnen de betreffende branche/sector.</w:t>
      </w:r>
    </w:p>
    <w:p w:rsidR="00F0785D" w:rsidRDefault="00F0785D" w:rsidP="0026740F">
      <w:pPr>
        <w:spacing w:after="0" w:line="240" w:lineRule="auto"/>
        <w:rPr>
          <w:rFonts w:eastAsia="Calibri"/>
          <w:b w:val="0"/>
          <w:shd w:val="clear" w:color="auto" w:fill="FFFFFF"/>
        </w:rPr>
      </w:pPr>
    </w:p>
    <w:p w:rsidR="0053357F" w:rsidRDefault="0053357F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15.8</w:t>
      </w:r>
    </w:p>
    <w:p w:rsidR="00467B73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Micro</w:t>
      </w:r>
    </w:p>
    <w:p w:rsidR="00467B73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Middelgroot</w:t>
      </w:r>
    </w:p>
    <w:p w:rsidR="00467B73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Klein</w:t>
      </w:r>
    </w:p>
    <w:p w:rsidR="00F0785D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Groot</w:t>
      </w:r>
    </w:p>
    <w:p w:rsidR="00F0785D" w:rsidRDefault="00F0785D" w:rsidP="0053357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 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4: klein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5: klein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6: micro</w:t>
      </w:r>
    </w:p>
    <w:p w:rsidR="00F0785D" w:rsidRDefault="00467B73" w:rsidP="0026740F">
      <w:pPr>
        <w:spacing w:after="0"/>
        <w:rPr>
          <w:rFonts w:eastAsia="Calibri"/>
          <w:b w:val="0"/>
        </w:rPr>
      </w:pPr>
      <w:r w:rsidRPr="00461A38">
        <w:rPr>
          <w:rFonts w:eastAsia="Calibri"/>
          <w:b w:val="0"/>
        </w:rPr>
        <w:t>Dus klein want een rechtspersoon wordt ingedeeld in een categorie als gedurende twee opeenvolgende balansdata aan tenminste twee van de drie criteria wordt voldaan.</w:t>
      </w:r>
    </w:p>
    <w:p w:rsidR="00F0785D" w:rsidRDefault="00F0785D" w:rsidP="0026740F">
      <w:pPr>
        <w:spacing w:after="0"/>
        <w:rPr>
          <w:rFonts w:eastAsia="Calibri"/>
          <w:b w:val="0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15.10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Het jaarverslag van een rechtspersoon bestaat uit de volgende onderdelen:</w:t>
      </w:r>
    </w:p>
    <w:p w:rsidR="00467B73" w:rsidRPr="00461A38" w:rsidRDefault="00467B73" w:rsidP="0026740F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jaarrekening</w:t>
      </w:r>
    </w:p>
    <w:p w:rsidR="00467B73" w:rsidRPr="00461A38" w:rsidRDefault="00467B73" w:rsidP="0026740F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bestuursverslag</w:t>
      </w:r>
      <w:proofErr w:type="spellEnd"/>
    </w:p>
    <w:p w:rsidR="00467B73" w:rsidRDefault="00467B73" w:rsidP="0026740F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overige gegevens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De jaarrekening bestaat uit de volgende onderdelen:</w:t>
      </w:r>
    </w:p>
    <w:p w:rsidR="00467B73" w:rsidRPr="00461A38" w:rsidRDefault="00467B73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balans</w:t>
      </w:r>
    </w:p>
    <w:p w:rsidR="00467B73" w:rsidRPr="00461A38" w:rsidRDefault="00467B73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winst- en verliesrekening</w:t>
      </w:r>
    </w:p>
    <w:p w:rsidR="00F0785D" w:rsidRDefault="00467B73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toelichting</w:t>
      </w:r>
    </w:p>
    <w:p w:rsidR="00F0785D" w:rsidRDefault="00F0785D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15.11</w:t>
      </w:r>
    </w:p>
    <w:tbl>
      <w:tblPr>
        <w:tblStyle w:val="Tabelraster7"/>
        <w:tblW w:w="9245" w:type="dxa"/>
        <w:tblLook w:val="04A0" w:firstRow="1" w:lastRow="0" w:firstColumn="1" w:lastColumn="0" w:noHBand="0" w:noVBand="1"/>
      </w:tblPr>
      <w:tblGrid>
        <w:gridCol w:w="2820"/>
        <w:gridCol w:w="1125"/>
        <w:gridCol w:w="1475"/>
        <w:gridCol w:w="1964"/>
        <w:gridCol w:w="1861"/>
      </w:tblGrid>
      <w:tr w:rsidR="00467B73" w:rsidRPr="00F77A31" w:rsidTr="00EB4B47">
        <w:tc>
          <w:tcPr>
            <w:tcW w:w="2820" w:type="dxa"/>
            <w:shd w:val="clear" w:color="auto" w:fill="auto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125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Groot</w:t>
            </w:r>
          </w:p>
        </w:tc>
        <w:tc>
          <w:tcPr>
            <w:tcW w:w="1475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Middelgroot</w:t>
            </w:r>
          </w:p>
        </w:tc>
        <w:tc>
          <w:tcPr>
            <w:tcW w:w="1964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Klein</w:t>
            </w:r>
          </w:p>
        </w:tc>
        <w:tc>
          <w:tcPr>
            <w:tcW w:w="1861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Micro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Balans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861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Winst-en-verliesrekening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861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Toelichting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861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proofErr w:type="spellStart"/>
            <w:r w:rsidRPr="00F77A31">
              <w:rPr>
                <w:rFonts w:ascii="Arial" w:eastAsia="Calibri" w:hAnsi="Arial" w:cs="Arial"/>
              </w:rPr>
              <w:t>Bestuursverslag</w:t>
            </w:r>
            <w:proofErr w:type="spellEnd"/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  <w:tc>
          <w:tcPr>
            <w:tcW w:w="1861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Accountantscontrole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  <w:tc>
          <w:tcPr>
            <w:tcW w:w="1861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15.12</w:t>
      </w:r>
    </w:p>
    <w:p w:rsidR="00467B73" w:rsidRPr="00461A38" w:rsidRDefault="00467B73" w:rsidP="0026740F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De Raad voor de Jaarverslaggeving heeft twee grondbeginselen genoemd voor het opstellen van de jaarrekening:</w:t>
      </w:r>
    </w:p>
    <w:p w:rsidR="00467B73" w:rsidRPr="00461A38" w:rsidRDefault="00467B73" w:rsidP="0026740F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het </w:t>
      </w:r>
      <w:proofErr w:type="spellStart"/>
      <w:r w:rsidRPr="00461A38">
        <w:rPr>
          <w:rFonts w:eastAsia="Calibri"/>
          <w:b w:val="0"/>
        </w:rPr>
        <w:t>toerekeningsbeginsel</w:t>
      </w:r>
      <w:proofErr w:type="spellEnd"/>
    </w:p>
    <w:p w:rsidR="00467B73" w:rsidRPr="00461A38" w:rsidRDefault="00467B73" w:rsidP="0026740F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het </w:t>
      </w:r>
      <w:proofErr w:type="spellStart"/>
      <w:r w:rsidRPr="00461A38">
        <w:rPr>
          <w:rFonts w:eastAsia="Calibri"/>
          <w:b w:val="0"/>
        </w:rPr>
        <w:t>continuiteitsbeginsel</w:t>
      </w:r>
      <w:proofErr w:type="spellEnd"/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Naast de twee beginselen worden ook de volgende vier beginselen toegepast:</w:t>
      </w:r>
    </w:p>
    <w:p w:rsidR="00467B73" w:rsidRPr="00461A38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realisatiebeginsel</w:t>
      </w:r>
    </w:p>
    <w:p w:rsidR="00467B73" w:rsidRPr="00461A38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voorzichtigheidsbeginsel</w:t>
      </w:r>
    </w:p>
    <w:p w:rsidR="00467B73" w:rsidRPr="00461A38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matchingbeginsel</w:t>
      </w:r>
    </w:p>
    <w:p w:rsidR="00F0785D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bestendigheidsbeginsel</w:t>
      </w:r>
    </w:p>
    <w:p w:rsidR="00F0785D" w:rsidRDefault="00F0785D" w:rsidP="0053357F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15.13</w:t>
      </w:r>
    </w:p>
    <w:p w:rsidR="00AD392A" w:rsidRPr="0053357F" w:rsidRDefault="00467B73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Voorzichtigheidsbeginsel</w:t>
      </w:r>
    </w:p>
    <w:p w:rsidR="00AD392A" w:rsidRPr="0053357F" w:rsidRDefault="00467B73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Realisatiebeginsel</w:t>
      </w:r>
    </w:p>
    <w:p w:rsidR="00AD392A" w:rsidRPr="0053357F" w:rsidRDefault="00AD392A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Voorzichtigheidsbeginsel</w:t>
      </w:r>
    </w:p>
    <w:p w:rsidR="00AD392A" w:rsidRPr="0053357F" w:rsidRDefault="00467B73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Toere</w:t>
      </w:r>
      <w:r w:rsidR="00AD392A">
        <w:rPr>
          <w:rFonts w:eastAsia="Calibri"/>
          <w:b w:val="0"/>
        </w:rPr>
        <w:t>keningsbeginsel</w:t>
      </w:r>
      <w:proofErr w:type="spellEnd"/>
    </w:p>
    <w:p w:rsidR="00F0785D" w:rsidRDefault="00467B73" w:rsidP="0026740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Continuïteitsbeginsel</w:t>
      </w:r>
    </w:p>
    <w:p w:rsidR="00F0785D" w:rsidRDefault="00F0785D" w:rsidP="0053357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15.14</w:t>
      </w:r>
    </w:p>
    <w:p w:rsidR="00424D10" w:rsidRPr="00461A38" w:rsidRDefault="00467B73" w:rsidP="00231E86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rFonts w:eastAsia="Calibri"/>
          <w:b w:val="0"/>
        </w:rPr>
        <w:t>Overige gegevens.</w:t>
      </w:r>
    </w:p>
    <w:sectPr w:rsidR="00424D10" w:rsidRPr="00461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BAA" w:rsidRDefault="00C05BAA" w:rsidP="006540DA">
      <w:pPr>
        <w:spacing w:after="0" w:line="240" w:lineRule="auto"/>
      </w:pPr>
      <w:r>
        <w:separator/>
      </w:r>
    </w:p>
  </w:endnote>
  <w:endnote w:type="continuationSeparator" w:id="0">
    <w:p w:rsidR="00C05BAA" w:rsidRDefault="00C05BAA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86" w:rsidRDefault="00231E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86" w:rsidRDefault="00231E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BAA" w:rsidRDefault="00C05BAA" w:rsidP="006540DA">
      <w:pPr>
        <w:spacing w:after="0" w:line="240" w:lineRule="auto"/>
      </w:pPr>
      <w:r>
        <w:separator/>
      </w:r>
    </w:p>
  </w:footnote>
  <w:footnote w:type="continuationSeparator" w:id="0">
    <w:p w:rsidR="00C05BAA" w:rsidRDefault="00C05BAA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86" w:rsidRDefault="00231E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231E86">
      <w:rPr>
        <w:i/>
      </w:rPr>
      <w:t xml:space="preserve"> hoofdstuk </w:t>
    </w:r>
    <w:r w:rsidR="00231E86">
      <w:rPr>
        <w:i/>
      </w:rPr>
      <w:t>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86" w:rsidRDefault="00231E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1E86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05BAA"/>
    <w:rsid w:val="00C2276B"/>
    <w:rsid w:val="00C27AD8"/>
    <w:rsid w:val="00C3713C"/>
    <w:rsid w:val="00C419D7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66F17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2019-02-02T12:20:00Z</dcterms:created>
  <dcterms:modified xsi:type="dcterms:W3CDTF">2019-02-02T12:21:00Z</dcterms:modified>
</cp:coreProperties>
</file>