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73" w:rsidRPr="00461A38" w:rsidRDefault="002119B6" w:rsidP="0026740F">
      <w:pPr>
        <w:spacing w:after="0" w:line="240" w:lineRule="auto"/>
        <w:rPr>
          <w:rFonts w:eastAsia="Calibri"/>
        </w:rPr>
      </w:pPr>
      <w:r>
        <w:rPr>
          <w:sz w:val="28"/>
        </w:rPr>
        <w:t xml:space="preserve">Uitwerkingen hoofdstuk 12: </w:t>
      </w:r>
      <w:r w:rsidR="00467B73" w:rsidRPr="002119B6">
        <w:rPr>
          <w:rFonts w:eastAsia="Calibri"/>
          <w:sz w:val="28"/>
          <w:szCs w:val="28"/>
        </w:rPr>
        <w:t>Het vreemd vermogen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Een openbare lening is een lening die open staat voor inschrijving </w:t>
      </w:r>
      <w:r w:rsidR="00511331">
        <w:rPr>
          <w:rFonts w:eastAsia="Calibri"/>
          <w:b w:val="0"/>
        </w:rPr>
        <w:t>d</w:t>
      </w:r>
      <w:r w:rsidRPr="00461A38">
        <w:rPr>
          <w:rFonts w:eastAsia="Calibri"/>
          <w:b w:val="0"/>
        </w:rPr>
        <w:t>oor iedereen die dat wenst.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A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Gedekt krediet is krediet dat wordt gedekt door een onderpand.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D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De beurskoers van een obligatie wordt mede bepaald door de hoogte van de marktrente</w:t>
      </w:r>
      <w:r w:rsidR="00511331">
        <w:rPr>
          <w:rFonts w:eastAsia="Calibri"/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12.4</w:t>
      </w:r>
    </w:p>
    <w:p w:rsidR="00467B73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Elk jaar wordt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500.000 afgelost. Verder wordt elk jaar interest betaald (achteraf</w:t>
      </w:r>
      <w:r w:rsidR="00BF2CE7">
        <w:rPr>
          <w:rFonts w:eastAsia="Calibri"/>
          <w:b w:val="0"/>
          <w:szCs w:val="18"/>
        </w:rPr>
        <w:t>)</w:t>
      </w:r>
      <w:r w:rsidRPr="00461A38">
        <w:rPr>
          <w:rFonts w:eastAsia="Calibri"/>
          <w:b w:val="0"/>
          <w:szCs w:val="18"/>
        </w:rPr>
        <w:t xml:space="preserve"> over het uitstaande bedrag, dat elk jaar vanwege de aflossing met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500.000 afneemt.</w:t>
      </w:r>
    </w:p>
    <w:p w:rsidR="00511331" w:rsidRPr="00461A38" w:rsidRDefault="00511331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tbl>
      <w:tblPr>
        <w:tblStyle w:val="Tabelraster4"/>
        <w:tblW w:w="0" w:type="auto"/>
        <w:tblInd w:w="284" w:type="dxa"/>
        <w:tblLook w:val="04A0" w:firstRow="1" w:lastRow="0" w:firstColumn="1" w:lastColumn="0" w:noHBand="0" w:noVBand="1"/>
      </w:tblPr>
      <w:tblGrid>
        <w:gridCol w:w="689"/>
        <w:gridCol w:w="1584"/>
        <w:gridCol w:w="1237"/>
        <w:gridCol w:w="1559"/>
        <w:gridCol w:w="1912"/>
        <w:gridCol w:w="1795"/>
      </w:tblGrid>
      <w:tr w:rsidR="00467B73" w:rsidRPr="005C6AE4" w:rsidTr="00BF2CE7">
        <w:tc>
          <w:tcPr>
            <w:tcW w:w="689" w:type="dxa"/>
          </w:tcPr>
          <w:p w:rsidR="00467B73" w:rsidRPr="00BF2CE7" w:rsidRDefault="00467B73" w:rsidP="0026740F">
            <w:pPr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>Jaar</w:t>
            </w:r>
          </w:p>
        </w:tc>
        <w:tc>
          <w:tcPr>
            <w:tcW w:w="1584" w:type="dxa"/>
          </w:tcPr>
          <w:p w:rsidR="00467B73" w:rsidRPr="00BF2CE7" w:rsidRDefault="00467B73" w:rsidP="00BF2CE7">
            <w:pPr>
              <w:jc w:val="right"/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>Stand 1 juli</w:t>
            </w:r>
          </w:p>
          <w:p w:rsidR="00467B73" w:rsidRPr="00BF2CE7" w:rsidRDefault="00467B73" w:rsidP="00BF2CE7">
            <w:pPr>
              <w:jc w:val="right"/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>voor aflossing</w:t>
            </w:r>
          </w:p>
        </w:tc>
        <w:tc>
          <w:tcPr>
            <w:tcW w:w="1237" w:type="dxa"/>
          </w:tcPr>
          <w:p w:rsidR="00467B73" w:rsidRPr="00BF2CE7" w:rsidRDefault="00467B73" w:rsidP="00BF2CE7">
            <w:pPr>
              <w:jc w:val="right"/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>Aflossing</w:t>
            </w:r>
          </w:p>
        </w:tc>
        <w:tc>
          <w:tcPr>
            <w:tcW w:w="1559" w:type="dxa"/>
          </w:tcPr>
          <w:p w:rsidR="00467B73" w:rsidRPr="00BF2CE7" w:rsidRDefault="00467B73" w:rsidP="00BF2CE7">
            <w:pPr>
              <w:jc w:val="right"/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>Stand 1 juli</w:t>
            </w:r>
          </w:p>
          <w:p w:rsidR="00467B73" w:rsidRPr="00BF2CE7" w:rsidRDefault="00467B73" w:rsidP="00BF2CE7">
            <w:pPr>
              <w:jc w:val="right"/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 xml:space="preserve">na </w:t>
            </w:r>
            <w:r w:rsidR="00BF2CE7">
              <w:rPr>
                <w:rFonts w:ascii="Arial" w:eastAsia="Calibri" w:hAnsi="Arial" w:cs="Arial"/>
                <w:b/>
                <w:szCs w:val="18"/>
              </w:rPr>
              <w:t>a</w:t>
            </w:r>
            <w:r w:rsidRPr="00BF2CE7">
              <w:rPr>
                <w:rFonts w:ascii="Arial" w:eastAsia="Calibri" w:hAnsi="Arial" w:cs="Arial"/>
                <w:b/>
                <w:szCs w:val="18"/>
              </w:rPr>
              <w:t>flossing</w:t>
            </w:r>
          </w:p>
        </w:tc>
        <w:tc>
          <w:tcPr>
            <w:tcW w:w="1912" w:type="dxa"/>
          </w:tcPr>
          <w:p w:rsidR="00467B73" w:rsidRPr="00BF2CE7" w:rsidRDefault="00467B73" w:rsidP="00BF2CE7">
            <w:pPr>
              <w:jc w:val="right"/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>Interest over periode voor aflossing</w:t>
            </w:r>
          </w:p>
        </w:tc>
        <w:tc>
          <w:tcPr>
            <w:tcW w:w="1795" w:type="dxa"/>
          </w:tcPr>
          <w:p w:rsidR="00467B73" w:rsidRPr="00BF2CE7" w:rsidRDefault="00467B73" w:rsidP="00BF2CE7">
            <w:pPr>
              <w:jc w:val="right"/>
              <w:rPr>
                <w:rFonts w:ascii="Arial" w:eastAsia="Calibri" w:hAnsi="Arial" w:cs="Arial"/>
                <w:b/>
                <w:szCs w:val="18"/>
              </w:rPr>
            </w:pPr>
            <w:r w:rsidRPr="00BF2CE7">
              <w:rPr>
                <w:rFonts w:ascii="Arial" w:eastAsia="Calibri" w:hAnsi="Arial" w:cs="Arial"/>
                <w:b/>
                <w:szCs w:val="18"/>
              </w:rPr>
              <w:t>Aflossing en interest samen</w:t>
            </w:r>
          </w:p>
        </w:tc>
      </w:tr>
      <w:tr w:rsidR="00467B73" w:rsidRPr="005C6AE4" w:rsidTr="00BF2CE7">
        <w:tc>
          <w:tcPr>
            <w:tcW w:w="689" w:type="dxa"/>
          </w:tcPr>
          <w:p w:rsidR="00467B73" w:rsidRPr="005C6AE4" w:rsidRDefault="00467B73" w:rsidP="0026740F">
            <w:pPr>
              <w:rPr>
                <w:rFonts w:ascii="Arial" w:eastAsia="Calibri" w:hAnsi="Arial" w:cs="Arial"/>
                <w:szCs w:val="18"/>
              </w:rPr>
            </w:pPr>
            <w:r w:rsidRPr="005C6AE4">
              <w:rPr>
                <w:rFonts w:ascii="Arial" w:eastAsia="Calibri" w:hAnsi="Arial" w:cs="Arial"/>
                <w:szCs w:val="18"/>
              </w:rPr>
              <w:t>1</w:t>
            </w:r>
          </w:p>
        </w:tc>
        <w:tc>
          <w:tcPr>
            <w:tcW w:w="1584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2.000.000</w:t>
            </w:r>
          </w:p>
        </w:tc>
        <w:tc>
          <w:tcPr>
            <w:tcW w:w="1237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500.000</w:t>
            </w:r>
          </w:p>
        </w:tc>
        <w:tc>
          <w:tcPr>
            <w:tcW w:w="1559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1.500.000</w:t>
            </w:r>
          </w:p>
        </w:tc>
        <w:tc>
          <w:tcPr>
            <w:tcW w:w="1912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100.000</w:t>
            </w:r>
          </w:p>
        </w:tc>
        <w:tc>
          <w:tcPr>
            <w:tcW w:w="1795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600.000</w:t>
            </w:r>
          </w:p>
        </w:tc>
      </w:tr>
      <w:tr w:rsidR="00467B73" w:rsidRPr="005C6AE4" w:rsidTr="00BF2CE7">
        <w:tc>
          <w:tcPr>
            <w:tcW w:w="689" w:type="dxa"/>
          </w:tcPr>
          <w:p w:rsidR="00467B73" w:rsidRPr="005C6AE4" w:rsidRDefault="00467B73" w:rsidP="0026740F">
            <w:pPr>
              <w:rPr>
                <w:rFonts w:ascii="Arial" w:eastAsia="Calibri" w:hAnsi="Arial" w:cs="Arial"/>
                <w:szCs w:val="18"/>
              </w:rPr>
            </w:pPr>
            <w:r w:rsidRPr="005C6AE4">
              <w:rPr>
                <w:rFonts w:ascii="Arial" w:eastAsia="Calibri" w:hAnsi="Arial" w:cs="Arial"/>
                <w:szCs w:val="18"/>
              </w:rPr>
              <w:t>2</w:t>
            </w:r>
          </w:p>
        </w:tc>
        <w:tc>
          <w:tcPr>
            <w:tcW w:w="1584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1.500.000</w:t>
            </w:r>
          </w:p>
        </w:tc>
        <w:tc>
          <w:tcPr>
            <w:tcW w:w="1237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500.000</w:t>
            </w:r>
          </w:p>
        </w:tc>
        <w:tc>
          <w:tcPr>
            <w:tcW w:w="1559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1.000.000</w:t>
            </w:r>
          </w:p>
        </w:tc>
        <w:tc>
          <w:tcPr>
            <w:tcW w:w="1912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 xml:space="preserve">  75.000</w:t>
            </w:r>
          </w:p>
        </w:tc>
        <w:tc>
          <w:tcPr>
            <w:tcW w:w="1795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575.000</w:t>
            </w:r>
          </w:p>
        </w:tc>
      </w:tr>
      <w:tr w:rsidR="00467B73" w:rsidRPr="005C6AE4" w:rsidTr="00BF2CE7">
        <w:tc>
          <w:tcPr>
            <w:tcW w:w="689" w:type="dxa"/>
          </w:tcPr>
          <w:p w:rsidR="00467B73" w:rsidRPr="005C6AE4" w:rsidRDefault="00467B73" w:rsidP="0026740F">
            <w:pPr>
              <w:rPr>
                <w:rFonts w:ascii="Arial" w:eastAsia="Calibri" w:hAnsi="Arial" w:cs="Arial"/>
                <w:szCs w:val="18"/>
              </w:rPr>
            </w:pPr>
            <w:r w:rsidRPr="005C6AE4">
              <w:rPr>
                <w:rFonts w:ascii="Arial" w:eastAsia="Calibri" w:hAnsi="Arial" w:cs="Arial"/>
                <w:szCs w:val="18"/>
              </w:rPr>
              <w:t>3</w:t>
            </w:r>
          </w:p>
        </w:tc>
        <w:tc>
          <w:tcPr>
            <w:tcW w:w="1584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1.000.000</w:t>
            </w:r>
          </w:p>
        </w:tc>
        <w:tc>
          <w:tcPr>
            <w:tcW w:w="1237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500.000</w:t>
            </w:r>
          </w:p>
        </w:tc>
        <w:tc>
          <w:tcPr>
            <w:tcW w:w="1559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 xml:space="preserve">   500.000</w:t>
            </w:r>
          </w:p>
        </w:tc>
        <w:tc>
          <w:tcPr>
            <w:tcW w:w="1912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 xml:space="preserve">  50.000</w:t>
            </w:r>
          </w:p>
        </w:tc>
        <w:tc>
          <w:tcPr>
            <w:tcW w:w="1795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550.000</w:t>
            </w:r>
          </w:p>
        </w:tc>
      </w:tr>
      <w:tr w:rsidR="00467B73" w:rsidRPr="005C6AE4" w:rsidTr="00BF2CE7">
        <w:tc>
          <w:tcPr>
            <w:tcW w:w="689" w:type="dxa"/>
          </w:tcPr>
          <w:p w:rsidR="00467B73" w:rsidRPr="005C6AE4" w:rsidRDefault="00467B73" w:rsidP="0026740F">
            <w:pPr>
              <w:rPr>
                <w:rFonts w:ascii="Arial" w:eastAsia="Calibri" w:hAnsi="Arial" w:cs="Arial"/>
                <w:szCs w:val="18"/>
              </w:rPr>
            </w:pPr>
            <w:r w:rsidRPr="005C6AE4">
              <w:rPr>
                <w:rFonts w:ascii="Arial" w:eastAsia="Calibri" w:hAnsi="Arial" w:cs="Arial"/>
                <w:szCs w:val="18"/>
              </w:rPr>
              <w:t>4</w:t>
            </w:r>
          </w:p>
        </w:tc>
        <w:tc>
          <w:tcPr>
            <w:tcW w:w="1584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 xml:space="preserve">   500.000</w:t>
            </w:r>
          </w:p>
        </w:tc>
        <w:tc>
          <w:tcPr>
            <w:tcW w:w="1237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500.000</w:t>
            </w:r>
          </w:p>
        </w:tc>
        <w:tc>
          <w:tcPr>
            <w:tcW w:w="1559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 xml:space="preserve">              0</w:t>
            </w:r>
          </w:p>
        </w:tc>
        <w:tc>
          <w:tcPr>
            <w:tcW w:w="1912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 xml:space="preserve">  25.000</w:t>
            </w:r>
          </w:p>
        </w:tc>
        <w:tc>
          <w:tcPr>
            <w:tcW w:w="1795" w:type="dxa"/>
          </w:tcPr>
          <w:p w:rsidR="00467B73" w:rsidRPr="005C6AE4" w:rsidRDefault="00396BD3" w:rsidP="00BF2CE7">
            <w:pPr>
              <w:jc w:val="right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€ </w:t>
            </w:r>
            <w:r w:rsidR="00467B73" w:rsidRPr="005C6AE4">
              <w:rPr>
                <w:rFonts w:ascii="Arial" w:eastAsia="Calibri" w:hAnsi="Arial" w:cs="Arial"/>
                <w:szCs w:val="18"/>
              </w:rPr>
              <w:t>525.000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</w:p>
    <w:p w:rsidR="00467B73" w:rsidRPr="00461A38" w:rsidRDefault="00BF2CE7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Vanuit</w:t>
      </w:r>
      <w:r w:rsidR="00467B73" w:rsidRPr="00461A38">
        <w:rPr>
          <w:rFonts w:eastAsia="Calibri"/>
          <w:b w:val="0"/>
          <w:szCs w:val="18"/>
        </w:rPr>
        <w:t xml:space="preserve"> de som van aflossing en interest moet de contante waarde worden berekend:</w:t>
      </w:r>
    </w:p>
    <w:p w:rsidR="005C6AE4" w:rsidRDefault="00396BD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600.000 x 1,06</w:t>
      </w:r>
      <w:r w:rsidR="00467B73" w:rsidRPr="00461A38">
        <w:rPr>
          <w:rFonts w:eastAsia="Calibri"/>
          <w:b w:val="0"/>
          <w:szCs w:val="18"/>
          <w:vertAlign w:val="superscript"/>
        </w:rPr>
        <w:t>-1</w:t>
      </w:r>
      <w:r w:rsidR="00467B73" w:rsidRPr="00461A38">
        <w:rPr>
          <w:rFonts w:eastAsia="Calibri"/>
          <w:b w:val="0"/>
          <w:szCs w:val="18"/>
        </w:rPr>
        <w:t xml:space="preserve"> +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575.000 x 1,06</w:t>
      </w:r>
      <w:r w:rsidR="00467B73" w:rsidRPr="00461A38">
        <w:rPr>
          <w:rFonts w:eastAsia="Calibri"/>
          <w:b w:val="0"/>
          <w:szCs w:val="18"/>
          <w:vertAlign w:val="superscript"/>
        </w:rPr>
        <w:t>-2</w:t>
      </w:r>
      <w:r w:rsidR="00467B73" w:rsidRPr="00461A38">
        <w:rPr>
          <w:rFonts w:eastAsia="Calibri"/>
          <w:b w:val="0"/>
          <w:szCs w:val="18"/>
        </w:rPr>
        <w:t xml:space="preserve"> +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550.000 x 1,06</w:t>
      </w:r>
      <w:r w:rsidR="00467B73" w:rsidRPr="00461A38">
        <w:rPr>
          <w:rFonts w:eastAsia="Calibri"/>
          <w:b w:val="0"/>
          <w:szCs w:val="18"/>
          <w:vertAlign w:val="superscript"/>
        </w:rPr>
        <w:t>-3</w:t>
      </w:r>
      <w:r w:rsidR="00467B73" w:rsidRPr="00461A38">
        <w:rPr>
          <w:rFonts w:eastAsia="Calibri"/>
          <w:b w:val="0"/>
          <w:szCs w:val="18"/>
        </w:rPr>
        <w:t xml:space="preserve"> +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525.000 x 1,06</w:t>
      </w:r>
      <w:r w:rsidR="00467B73" w:rsidRPr="00461A38">
        <w:rPr>
          <w:rFonts w:eastAsia="Calibri"/>
          <w:b w:val="0"/>
          <w:szCs w:val="18"/>
          <w:vertAlign w:val="superscript"/>
        </w:rPr>
        <w:t>-4</w:t>
      </w:r>
      <w:r w:rsidR="00467B73" w:rsidRPr="00461A38">
        <w:rPr>
          <w:rFonts w:eastAsia="Calibri"/>
          <w:b w:val="0"/>
          <w:szCs w:val="18"/>
        </w:rPr>
        <w:t xml:space="preserve"> =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1.955.425,47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Dit bedrag moet worden gedeeld door de nominale waarde van de obligatielening,</w:t>
      </w:r>
    </w:p>
    <w:p w:rsidR="00F0785D" w:rsidRDefault="00396BD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1.955.425,47 /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2.000.000 x 100% =  97,77%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Aan het begin van het achtste jaar van de looptijd van de lening bedraagt het nog uitstaande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bedrag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Om de obligatielening tegen 102% te kunnen aflossen, moet onderhands worden geleend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3.060.000 (102% van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3.000.000).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Interestlasten van de obligatielening gedurende de resterende drie jaren van de looptijd</w:t>
      </w:r>
      <w:r w:rsidR="00BF2CE7">
        <w:rPr>
          <w:rFonts w:eastAsia="Calibri"/>
          <w:b w:val="0"/>
        </w:rPr>
        <w:t>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7%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210.000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7%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7%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70.000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988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Interestlasten van de onderhandse lening</w:t>
      </w:r>
      <w:r w:rsidR="00BF2CE7">
        <w:rPr>
          <w:rFonts w:eastAsia="Calibri"/>
          <w:b w:val="0"/>
        </w:rPr>
        <w:t>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5% van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3.060.000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153.000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5% van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2.040.000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102.000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5% van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1.020.000 =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51.000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988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306.000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Interestlasten obligatielening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Interestlasten onderhandse lening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306.000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3124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114.000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Premie op vervroegde aflossing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60.000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Besparing bij vervroegde aflossing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54.000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 xml:space="preserve">Vervroegde aflossing moet plaatsvinden omdat dit </w:t>
      </w:r>
      <w:r w:rsidR="00BF2CE7" w:rsidRPr="00461A38">
        <w:rPr>
          <w:rFonts w:eastAsia="Calibri"/>
          <w:b w:val="0"/>
        </w:rPr>
        <w:t xml:space="preserve">leidt </w:t>
      </w:r>
      <w:r w:rsidRPr="00461A38">
        <w:rPr>
          <w:rFonts w:eastAsia="Calibri"/>
          <w:b w:val="0"/>
        </w:rPr>
        <w:t xml:space="preserve">tot een besparing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54.000 op de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interestkosten.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12.6</w:t>
      </w:r>
    </w:p>
    <w:p w:rsidR="00467B73" w:rsidRPr="00461A38" w:rsidRDefault="00413379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  <w:szCs w:val="18"/>
        </w:rPr>
        <w:t>Een converteerbare obligatielening is een lening waarvan de obligaties, tegen vooraf</w:t>
      </w:r>
      <w:r w:rsidR="006F798D">
        <w:rPr>
          <w:rFonts w:eastAsia="Calibri"/>
          <w:b w:val="0"/>
          <w:szCs w:val="18"/>
        </w:rPr>
        <w:t xml:space="preserve"> </w:t>
      </w:r>
      <w:r w:rsidR="00467B73" w:rsidRPr="00461A38">
        <w:rPr>
          <w:rFonts w:eastAsia="Calibri"/>
          <w:b w:val="0"/>
          <w:szCs w:val="18"/>
        </w:rPr>
        <w:t xml:space="preserve">vastgestelde voorwaarden, kunnen worden omgewisseld tegen aandelen van de </w:t>
      </w:r>
      <w:r w:rsidR="005C6AE4">
        <w:rPr>
          <w:rFonts w:eastAsia="Calibri"/>
          <w:b w:val="0"/>
          <w:szCs w:val="18"/>
        </w:rPr>
        <w:t>nv</w:t>
      </w:r>
      <w:r w:rsidR="006F798D">
        <w:rPr>
          <w:rFonts w:eastAsia="Calibri"/>
          <w:b w:val="0"/>
          <w:szCs w:val="18"/>
        </w:rPr>
        <w:t xml:space="preserve"> </w:t>
      </w:r>
      <w:r w:rsidR="00467B73" w:rsidRPr="00461A38">
        <w:rPr>
          <w:rFonts w:eastAsia="Calibri"/>
          <w:b w:val="0"/>
          <w:szCs w:val="18"/>
        </w:rPr>
        <w:t>die de obligaties uitgaf.</w:t>
      </w: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Er is sprake van een tussenvorm van financiering omdat het in de bedoeling ligt dat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er daadwerkelijk conversie van de obligaties plaatsvindt en zo het vreemde vermogen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in eigen vermogen wordt omgezet.</w:t>
      </w: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>Er zal gekozen worden voor een emissie van converteerbare obligaties in situaties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waarin de vermogensmarkt niet bereid is om een aandelenemissie tegen de koers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die de onderneming verlangt op te nemen.</w:t>
      </w: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</w:p>
    <w:p w:rsidR="00F0785D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>Indirect kan een hogere koers voor de aandelen worden bereikt omdat de conversiekoers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hoger is dan de beurskoers van de bewuste aandelen op het moment van de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uitgifte van de lening (conversie zou anders onmiddellijk plaatsvinden). Bij conversie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zal dus een hogere koers voor de aandelen worden gerealiseerd dan op het moment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van de uitgifte van de converteerbare obligatielening mogelijk zou zijn geweest.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sz w:val="2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12.7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 xml:space="preserve">Er zijn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250 = 10.000 converteerbare obligaties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Conversiekoers = (2 </w:t>
      </w:r>
      <w:r w:rsidR="005C6AE4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100) / 3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Er wordt 10.000 / 2 = 5.000 keer geconverteerd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Per conversie worden drie aandelen uitgegeven tegen een koers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200 per aandeel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Agio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 conversiekoers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nominaal per aandeel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 agio per aandeel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agio = 3 x 5.000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 xml:space="preserve">Toename geplaatst aandelenvermogen: 3 x 5.000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nominaal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Toename agio reserve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Afname vreemd vermogen (converteerbare lening)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2.500.000</w:t>
      </w:r>
      <w:r w:rsidRPr="00461A38">
        <w:rPr>
          <w:rFonts w:eastAsia="Calibri"/>
          <w:b w:val="0"/>
        </w:rPr>
        <w:t xml:space="preserve"> -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Toename totaal vermogen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500.000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12.8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 xml:space="preserve">Conversiekoers = (1 </w:t>
      </w:r>
      <w:r w:rsidR="005C6AE4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250) / 50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Er zijn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10.000.000 /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1.000 = 10.000 converteerbare obligaties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Per conversie worden 50 aandelen uitgegeven tegen een koers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 per aandeel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Agio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 conversiekoers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 nominaal per aandeel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 agio per aandeel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agio = 10.000 x 50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Toename liquide middelen 10.000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Afname converteerbare lening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Toename geplaatst aandelenvermogen: 10.000 × 50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 nominaal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2.500.000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proofErr w:type="spellStart"/>
      <w:r w:rsidRPr="00F0785D">
        <w:rPr>
          <w:rFonts w:eastAsia="Calibri"/>
          <w:b w:val="0"/>
          <w:lang w:val="en-GB"/>
        </w:rPr>
        <w:t>Toename</w:t>
      </w:r>
      <w:proofErr w:type="spellEnd"/>
      <w:r w:rsidRPr="00F0785D">
        <w:rPr>
          <w:rFonts w:eastAsia="Calibri"/>
          <w:b w:val="0"/>
          <w:lang w:val="en-GB"/>
        </w:rPr>
        <w:t xml:space="preserve"> </w:t>
      </w:r>
      <w:proofErr w:type="spellStart"/>
      <w:r w:rsidRPr="00F0785D">
        <w:rPr>
          <w:rFonts w:eastAsia="Calibri"/>
          <w:b w:val="0"/>
          <w:lang w:val="en-GB"/>
        </w:rPr>
        <w:t>agioreserve</w:t>
      </w:r>
      <w:proofErr w:type="spellEnd"/>
      <w:r w:rsidRPr="00F0785D">
        <w:rPr>
          <w:rFonts w:eastAsia="Calibri"/>
          <w:b w:val="0"/>
          <w:lang w:val="en-GB"/>
        </w:rPr>
        <w:t xml:space="preserve"> </w:t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 xml:space="preserve">10.000.000 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lang w:val="en-GB"/>
        </w:rPr>
      </w:pPr>
      <w:proofErr w:type="spellStart"/>
      <w:r w:rsidRPr="00F0785D">
        <w:rPr>
          <w:rFonts w:eastAsia="Calibri"/>
          <w:lang w:val="en-GB"/>
        </w:rPr>
        <w:t>Opgave</w:t>
      </w:r>
      <w:proofErr w:type="spellEnd"/>
      <w:r w:rsidRPr="00F0785D">
        <w:rPr>
          <w:rFonts w:eastAsia="Calibri"/>
          <w:lang w:val="en-GB"/>
        </w:rPr>
        <w:t xml:space="preserve"> 12.9 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 xml:space="preserve">a </w:t>
      </w:r>
      <w:r w:rsidRPr="00F0785D">
        <w:rPr>
          <w:rFonts w:eastAsia="Calibri"/>
          <w:b w:val="0"/>
          <w:lang w:val="en-GB"/>
        </w:rPr>
        <w:tab/>
      </w:r>
      <w:proofErr w:type="spellStart"/>
      <w:r w:rsidRPr="00F0785D">
        <w:rPr>
          <w:rFonts w:eastAsia="Calibri"/>
          <w:b w:val="0"/>
          <w:lang w:val="en-GB"/>
        </w:rPr>
        <w:t>Conversiekoers</w:t>
      </w:r>
      <w:proofErr w:type="spellEnd"/>
      <w:r w:rsidRPr="00F0785D">
        <w:rPr>
          <w:rFonts w:eastAsia="Calibri"/>
          <w:b w:val="0"/>
          <w:lang w:val="en-GB"/>
        </w:rPr>
        <w:t xml:space="preserve"> = (1 </w:t>
      </w:r>
      <w:r w:rsidR="005C6AE4" w:rsidRPr="00F0785D">
        <w:rPr>
          <w:rFonts w:eastAsia="Calibri"/>
          <w:b w:val="0"/>
          <w:lang w:val="en-GB"/>
        </w:rPr>
        <w:t>x</w:t>
      </w:r>
      <w:r w:rsidRPr="00F0785D">
        <w:rPr>
          <w:rFonts w:eastAsia="Calibri"/>
          <w:b w:val="0"/>
          <w:lang w:val="en-GB"/>
        </w:rPr>
        <w:t xml:space="preserve"> </w:t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 xml:space="preserve">1.000 + </w:t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 xml:space="preserve">200) / 40 = </w:t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>30</w:t>
      </w:r>
      <w:r w:rsidR="005C6AE4" w:rsidRPr="00F0785D">
        <w:rPr>
          <w:rFonts w:eastAsia="Calibri"/>
          <w:b w:val="0"/>
          <w:lang w:val="en-GB"/>
        </w:rPr>
        <w:t>.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Conversie kan een aardig voordeel opleveren als de koers van het aandeel stijgt dat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bij de conversie wordt verkregen. Dit eventueel te behalen voordeel wordt in de prijs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(koers) van de converteerbare obligatie verwerkt.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F0785D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 xml:space="preserve">Bij conversie levert men een obligatie in met een koers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1.150 en betaalt men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 xml:space="preserve">nog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200 in contanten bij. Hiervoor verkrijgt men 40 aandelen met een beurskoers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 xml:space="preserve">van 40 </w:t>
      </w:r>
      <w:r w:rsidR="005C6AE4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32,50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1.300.</w:t>
      </w:r>
      <w:r w:rsidR="006F798D">
        <w:rPr>
          <w:rFonts w:eastAsia="Calibri"/>
          <w:b w:val="0"/>
          <w:szCs w:val="18"/>
        </w:rPr>
        <w:br/>
      </w:r>
      <w:r w:rsidRPr="00461A38">
        <w:rPr>
          <w:rFonts w:eastAsia="Calibri"/>
          <w:b w:val="0"/>
          <w:szCs w:val="18"/>
        </w:rPr>
        <w:t xml:space="preserve">Men betaalt dus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1.350 voor aandelen met een koers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1.300. De conversie is dus</w:t>
      </w:r>
      <w:r w:rsidR="006F798D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onvoordelig.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 w:val="28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12.10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Conversiekoers (2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500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200) / 4 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300</w:t>
      </w:r>
      <w:r w:rsidR="005C6AE4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>De lagere rentevergoeding is de prijs die betaald wordt door de houder van de converteerbare obligatie voor het conversierecht dat hij heeft verkregen.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6F798D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  <w:t xml:space="preserve">Vervroegde aflossing </w:t>
      </w:r>
      <w:r w:rsidR="006F798D">
        <w:rPr>
          <w:rFonts w:eastAsia="Calibri"/>
          <w:b w:val="0"/>
        </w:rPr>
        <w:t>a</w:t>
      </w:r>
      <w:r w:rsidRPr="00461A38">
        <w:rPr>
          <w:rFonts w:eastAsia="Calibri"/>
          <w:b w:val="0"/>
        </w:rPr>
        <w:t xml:space="preserve"> pari betekent voor de houder van de converteerbare obligatie</w:t>
      </w:r>
      <w:r w:rsidR="006F798D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een verlies omdat de koers van de converteerbare obligatie, bij een conversierecht</w:t>
      </w:r>
      <w:r w:rsidR="006F798D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dat reële betekenis heeft, boven pari zal liggen. Om het verlies te voorkomen gaat de</w:t>
      </w:r>
      <w:r w:rsidR="006F798D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houder over tot conversie of verkoopt hij zijn obligatie aan een andere belegger die</w:t>
      </w:r>
      <w:r w:rsidR="006F798D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wel bereid is om te converteren.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30631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 </w:t>
      </w:r>
      <w:r w:rsidRPr="00461A38">
        <w:rPr>
          <w:rFonts w:eastAsia="Calibri"/>
          <w:b w:val="0"/>
        </w:rPr>
        <w:tab/>
        <w:t>Dreigen met vervroegde aflossing heeft geen enkele zin wanneer de conversie voor</w:t>
      </w:r>
      <w:r w:rsidR="00230631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de belegger zeer onvoordelig uitpakt. De waarde van de bij de conversie verkregen</w:t>
      </w:r>
      <w:r w:rsidR="00230631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aandelen is dan aanmerkelijk lager dan de waarde van de obligaties en de eventuele</w:t>
      </w:r>
      <w:r w:rsidR="00230631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bijbetaling die bij de conversie moeten worden opgeofferd.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13379" w:rsidP="00230631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>
        <w:rPr>
          <w:rFonts w:eastAsia="Calibri"/>
          <w:b w:val="0"/>
        </w:rPr>
        <w:t>e.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Een obligatiehouder moet bij conversie twee obligaties inleveren met een beurskoers</w:t>
      </w:r>
      <w:r w:rsidR="00230631">
        <w:rPr>
          <w:rFonts w:eastAsia="Calibri"/>
          <w:b w:val="0"/>
        </w:rPr>
        <w:t xml:space="preserve"> </w:t>
      </w:r>
      <w:r w:rsidR="00467B73" w:rsidRPr="00461A38">
        <w:rPr>
          <w:rFonts w:eastAsia="Calibri"/>
          <w:b w:val="0"/>
        </w:rPr>
        <w:t xml:space="preserve">van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610 elk en nog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200 in contanten bijbetalen. Hij krijgt hiervoor vier aandelen</w:t>
      </w:r>
      <w:r w:rsidR="00230631">
        <w:rPr>
          <w:rFonts w:eastAsia="Calibri"/>
          <w:b w:val="0"/>
        </w:rPr>
        <w:t xml:space="preserve"> </w:t>
      </w:r>
      <w:r w:rsidR="00467B73" w:rsidRPr="00461A38">
        <w:rPr>
          <w:rFonts w:eastAsia="Calibri"/>
          <w:b w:val="0"/>
        </w:rPr>
        <w:t xml:space="preserve">met een beurskoers van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350 per stuk.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Waarde 4 aandelen: 4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te leveren: 2 obligaties à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610 plus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1.420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Verlies bij conversie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  20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Een belegger gaat bij conversie niet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1.420 betalen voor </w:t>
      </w:r>
      <w:r w:rsidR="00230631">
        <w:rPr>
          <w:rFonts w:eastAsia="Calibri"/>
          <w:b w:val="0"/>
        </w:rPr>
        <w:t>vier</w:t>
      </w:r>
      <w:r w:rsidRPr="00461A38">
        <w:rPr>
          <w:rFonts w:eastAsia="Calibri"/>
          <w:b w:val="0"/>
        </w:rPr>
        <w:t xml:space="preserve"> aandelen die hij op de beurs voor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1.400 kan kopen.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12.11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Conversiekoers (2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500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350) / 30 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45</w:t>
      </w:r>
      <w:r w:rsidR="005C6AE4">
        <w:rPr>
          <w:rFonts w:eastAsia="Calibri"/>
          <w:b w:val="0"/>
        </w:rPr>
        <w:t>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Aantal conversies 1.000 / 2 = 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Toename aandelenkapitaal 500 x 30 aandelen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 nominaal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Agio per aandeel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45 conversiekoers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 nominaal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Toename agioreserve 500 x 30 aandelen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375.000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Totale toename eigen vermogen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675.000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12.12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200) / 30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12.13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90%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1.000 = 2.700 converteerbare obligaties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2.700 x 30 aandelen x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25)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1.215.000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12.14</w:t>
      </w:r>
    </w:p>
    <w:p w:rsidR="00467B73" w:rsidRPr="00461A38" w:rsidRDefault="00467B73" w:rsidP="0026740F">
      <w:pPr>
        <w:spacing w:after="0" w:line="240" w:lineRule="auto"/>
        <w:ind w:right="-710"/>
        <w:textAlignment w:val="baseline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4 obl</w:t>
      </w:r>
      <w:r w:rsidR="00230631">
        <w:rPr>
          <w:rFonts w:eastAsia="Times New Roman"/>
          <w:b w:val="0"/>
          <w:lang w:eastAsia="nl-NL"/>
        </w:rPr>
        <w:t>igaties</w:t>
      </w:r>
      <w:r w:rsidRPr="00461A38">
        <w:rPr>
          <w:rFonts w:eastAsia="Times New Roman"/>
          <w:b w:val="0"/>
          <w:lang w:eastAsia="nl-NL"/>
        </w:rPr>
        <w:t xml:space="preserve"> x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250 +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250 → 50 aandelen x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5 nom</w:t>
      </w:r>
      <w:r w:rsidR="00230631">
        <w:rPr>
          <w:rFonts w:eastAsia="Times New Roman"/>
          <w:b w:val="0"/>
          <w:lang w:eastAsia="nl-NL"/>
        </w:rPr>
        <w:t>inaal</w:t>
      </w:r>
    </w:p>
    <w:p w:rsidR="00467B73" w:rsidRPr="00461A38" w:rsidRDefault="00467B73" w:rsidP="0026740F">
      <w:pPr>
        <w:spacing w:after="0" w:line="240" w:lineRule="auto"/>
        <w:ind w:right="-710"/>
        <w:textAlignment w:val="baseline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Conversiekoers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1.250 / 50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25</w:t>
      </w:r>
    </w:p>
    <w:p w:rsidR="00467B73" w:rsidRPr="00461A38" w:rsidRDefault="00467B73" w:rsidP="0026740F">
      <w:pPr>
        <w:spacing w:after="0" w:line="240" w:lineRule="auto"/>
        <w:ind w:right="-710"/>
        <w:textAlignment w:val="baseline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Agio per aandeel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25 -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5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20</w:t>
      </w:r>
    </w:p>
    <w:p w:rsidR="00467B73" w:rsidRPr="00461A38" w:rsidRDefault="00467B73" w:rsidP="0026740F">
      <w:pPr>
        <w:spacing w:after="0" w:line="240" w:lineRule="auto"/>
        <w:ind w:right="-710"/>
        <w:textAlignment w:val="baseline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Dus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2.000.000 /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20 = 100.000 extra aandelen</w:t>
      </w:r>
    </w:p>
    <w:p w:rsidR="00467B73" w:rsidRPr="00461A38" w:rsidRDefault="00467B73" w:rsidP="0026740F">
      <w:pPr>
        <w:spacing w:after="0" w:line="240" w:lineRule="auto"/>
        <w:ind w:right="-710"/>
        <w:textAlignment w:val="baseline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lastRenderedPageBreak/>
        <w:t>Dus 100.000 / 50 = 2.000 omwisselingen</w:t>
      </w:r>
    </w:p>
    <w:p w:rsidR="00F0785D" w:rsidRDefault="00467B73" w:rsidP="0026740F">
      <w:pPr>
        <w:spacing w:after="0" w:line="240" w:lineRule="auto"/>
        <w:ind w:right="-710"/>
        <w:textAlignment w:val="baseline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Dus 2.000 x 4 = 8.000 converteerbare obligaties</w:t>
      </w:r>
    </w:p>
    <w:p w:rsidR="00F0785D" w:rsidRDefault="00F0785D" w:rsidP="0026740F">
      <w:pPr>
        <w:spacing w:after="0" w:line="240" w:lineRule="auto"/>
        <w:ind w:right="-710"/>
        <w:textAlignment w:val="baseline"/>
        <w:rPr>
          <w:rFonts w:eastAsia="Times New Roman"/>
          <w:b w:val="0"/>
          <w:lang w:eastAsia="nl-NL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12.15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1 jan</w:t>
      </w:r>
      <w:r w:rsidR="00230631">
        <w:rPr>
          <w:rFonts w:eastAsia="Calibri"/>
          <w:b w:val="0"/>
        </w:rPr>
        <w:t>.</w:t>
      </w:r>
      <w:r w:rsidR="00467B73"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  <w:r w:rsidR="00467B73" w:rsidRPr="00461A38">
        <w:rPr>
          <w:rFonts w:eastAsia="Calibri"/>
          <w:b w:val="0"/>
        </w:rPr>
        <w:t xml:space="preserve"> 1 okt</w:t>
      </w:r>
      <w:r w:rsidR="00230631">
        <w:rPr>
          <w:rFonts w:eastAsia="Calibri"/>
          <w:b w:val="0"/>
        </w:rPr>
        <w:t>.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230631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9/12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840.000 x 6% =</w:t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37.800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1 okt</w:t>
      </w:r>
      <w:r w:rsidR="00230631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31 dec</w:t>
      </w:r>
      <w:r w:rsidR="00230631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3/12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780.000 x 6%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11.700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230631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49.500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De nog niet betaalde interest over de periode 1 okt </w:t>
      </w:r>
      <w:r w:rsidR="005D253C">
        <w:rPr>
          <w:rFonts w:eastAsia="Calibri"/>
          <w:b w:val="0"/>
        </w:rPr>
        <w:t>-</w:t>
      </w:r>
      <w:r w:rsidR="00467B73" w:rsidRPr="00461A38">
        <w:rPr>
          <w:rFonts w:eastAsia="Calibri"/>
          <w:b w:val="0"/>
        </w:rPr>
        <w:t xml:space="preserve"> 31 dec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3/12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780.000 x 6%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11.700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12.16</w:t>
      </w:r>
    </w:p>
    <w:p w:rsidR="00467B73" w:rsidRPr="00461A38" w:rsidRDefault="00467B73" w:rsidP="0026740F">
      <w:pPr>
        <w:numPr>
          <w:ilvl w:val="0"/>
          <w:numId w:val="61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Crowdfunding</w:t>
      </w:r>
      <w:proofErr w:type="spellEnd"/>
      <w:r w:rsidRPr="00461A38">
        <w:rPr>
          <w:rFonts w:eastAsia="Calibri"/>
          <w:b w:val="0"/>
        </w:rPr>
        <w:t xml:space="preserve"> is publieksfinanciering waarbij er direct contact is tussen de ondernemer en de investeerder. Het publiek brengt het benodigde geld bijeen voor de investering vaak via een </w:t>
      </w:r>
      <w:proofErr w:type="spellStart"/>
      <w:r w:rsidRPr="00461A38">
        <w:rPr>
          <w:rFonts w:eastAsia="Calibri"/>
          <w:b w:val="0"/>
        </w:rPr>
        <w:t>crowdfundingsplatform</w:t>
      </w:r>
      <w:proofErr w:type="spellEnd"/>
      <w:r w:rsidRPr="00461A38">
        <w:rPr>
          <w:rFonts w:eastAsia="Calibri"/>
          <w:b w:val="0"/>
        </w:rPr>
        <w:t xml:space="preserve"> op internet.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230631" w:rsidRDefault="00467B73" w:rsidP="00230631">
      <w:pPr>
        <w:numPr>
          <w:ilvl w:val="0"/>
          <w:numId w:val="61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230631">
        <w:rPr>
          <w:rFonts w:eastAsia="Calibri"/>
          <w:b w:val="0"/>
        </w:rPr>
        <w:t xml:space="preserve">Bij </w:t>
      </w:r>
      <w:proofErr w:type="spellStart"/>
      <w:r w:rsidRPr="00230631">
        <w:rPr>
          <w:rFonts w:eastAsia="Calibri"/>
          <w:b w:val="0"/>
        </w:rPr>
        <w:t>crowdfunding</w:t>
      </w:r>
      <w:proofErr w:type="spellEnd"/>
      <w:r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</w:rPr>
        <w:t>zonder</w:t>
      </w:r>
      <w:r w:rsidRPr="00230631">
        <w:rPr>
          <w:rFonts w:eastAsia="Calibri"/>
          <w:b w:val="0"/>
        </w:rPr>
        <w:t xml:space="preserve"> financiële vergoeding doneert de investeerder voor een goed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doel (bijvoorbeeld een operatie in het buitenland) of gaat het om de voorfinanciering van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een bepaald project. Hierbij kan bijvoorbeeld worden gedacht aan de voorverkoop van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een nog te ontwikkelen product.</w:t>
      </w:r>
      <w:r w:rsidR="00230631" w:rsidRPr="00230631">
        <w:rPr>
          <w:rFonts w:eastAsia="Calibri"/>
          <w:b w:val="0"/>
        </w:rPr>
        <w:br/>
      </w:r>
      <w:r w:rsidRPr="00230631">
        <w:rPr>
          <w:rFonts w:eastAsia="Calibri"/>
          <w:b w:val="0"/>
        </w:rPr>
        <w:t xml:space="preserve">Bij </w:t>
      </w:r>
      <w:proofErr w:type="spellStart"/>
      <w:r w:rsidRPr="00230631">
        <w:rPr>
          <w:rFonts w:eastAsia="Calibri"/>
          <w:b w:val="0"/>
        </w:rPr>
        <w:t>crowdfunding</w:t>
      </w:r>
      <w:proofErr w:type="spellEnd"/>
      <w:r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</w:rPr>
        <w:t>met</w:t>
      </w:r>
      <w:r w:rsidRPr="00230631">
        <w:rPr>
          <w:rFonts w:eastAsia="Calibri"/>
          <w:b w:val="0"/>
        </w:rPr>
        <w:t xml:space="preserve"> financiële vergoeding ontvangt de investeerder als tegenprestatie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een interestvergoeding of aandelen van de onderneming. Deze vorm wordt ook</w:t>
      </w:r>
      <w:r w:rsidR="00230631">
        <w:rPr>
          <w:rFonts w:eastAsia="Calibri"/>
          <w:b w:val="0"/>
        </w:rPr>
        <w:t xml:space="preserve"> </w:t>
      </w:r>
      <w:proofErr w:type="spellStart"/>
      <w:r w:rsidRPr="00230631">
        <w:rPr>
          <w:rFonts w:eastAsia="Calibri"/>
          <w:b w:val="0"/>
        </w:rPr>
        <w:t>crowdfinancing</w:t>
      </w:r>
      <w:proofErr w:type="spellEnd"/>
      <w:r w:rsidRPr="00230631">
        <w:rPr>
          <w:rFonts w:eastAsia="Calibri"/>
          <w:b w:val="0"/>
        </w:rPr>
        <w:t xml:space="preserve"> of </w:t>
      </w:r>
      <w:proofErr w:type="spellStart"/>
      <w:r w:rsidRPr="00230631">
        <w:rPr>
          <w:rFonts w:eastAsia="Calibri"/>
          <w:b w:val="0"/>
        </w:rPr>
        <w:t>crowdinvesting</w:t>
      </w:r>
      <w:proofErr w:type="spellEnd"/>
      <w:r w:rsidRPr="00230631">
        <w:rPr>
          <w:rFonts w:eastAsia="Calibri"/>
          <w:b w:val="0"/>
        </w:rPr>
        <w:t xml:space="preserve"> genoemd.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Een kredietunie kan op twee manieren worden opgezet:</w:t>
      </w:r>
    </w:p>
    <w:p w:rsidR="00467B73" w:rsidRPr="00230631" w:rsidRDefault="00467B73" w:rsidP="00230631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230631">
        <w:rPr>
          <w:rFonts w:eastAsia="Calibri"/>
          <w:b w:val="0"/>
        </w:rPr>
        <w:t>Volgens het bemiddelingsmodel. Bij dit model beoordeelt de kredietunie de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kredietaanvraag. Na goedkeuring kunnen de andere leden aangeven of zij meedoen</w:t>
      </w:r>
      <w:r w:rsid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met deze kredietaanvraag.</w:t>
      </w:r>
    </w:p>
    <w:p w:rsidR="00467B73" w:rsidRPr="00230631" w:rsidRDefault="00467B73" w:rsidP="00230631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230631">
        <w:rPr>
          <w:rFonts w:eastAsia="Calibri"/>
          <w:b w:val="0"/>
        </w:rPr>
        <w:t>Volgens het centrale kasmodel. Bij dit model brengen de leden vermogen in via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ledencertificaten. De kredietunie beoordeelt de kredietaanvraag en na goedkeuring</w:t>
      </w:r>
      <w:r w:rsid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wordt het krediet verstrekt uit de centrale kas.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230631" w:rsidRDefault="00467B73" w:rsidP="00230631">
      <w:pPr>
        <w:numPr>
          <w:ilvl w:val="0"/>
          <w:numId w:val="61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230631">
        <w:rPr>
          <w:rFonts w:eastAsia="Calibri"/>
          <w:b w:val="0"/>
        </w:rPr>
        <w:t>Informal</w:t>
      </w:r>
      <w:proofErr w:type="spellEnd"/>
      <w:r w:rsidRPr="00230631">
        <w:rPr>
          <w:rFonts w:eastAsia="Calibri"/>
          <w:b w:val="0"/>
        </w:rPr>
        <w:t xml:space="preserve"> </w:t>
      </w:r>
      <w:proofErr w:type="spellStart"/>
      <w:r w:rsidRPr="00230631">
        <w:rPr>
          <w:rFonts w:eastAsia="Calibri"/>
          <w:b w:val="0"/>
        </w:rPr>
        <w:t>investors</w:t>
      </w:r>
      <w:proofErr w:type="spellEnd"/>
      <w:r w:rsidRPr="00230631">
        <w:rPr>
          <w:rFonts w:eastAsia="Calibri"/>
          <w:b w:val="0"/>
        </w:rPr>
        <w:t xml:space="preserve"> zijn ondernemers die het geld dat zij hebben overgehouden aan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de verkoop van hun onderneming weer willen investeren in (startende) ondernemingen.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 xml:space="preserve">Naast geld bieden zij ook hun kennis en ervaring aan. </w:t>
      </w:r>
      <w:proofErr w:type="spellStart"/>
      <w:r w:rsidR="00230631">
        <w:rPr>
          <w:rFonts w:eastAsia="Calibri"/>
          <w:b w:val="0"/>
        </w:rPr>
        <w:t>I</w:t>
      </w:r>
      <w:r w:rsidRPr="00230631">
        <w:rPr>
          <w:rFonts w:eastAsia="Calibri"/>
          <w:b w:val="0"/>
        </w:rPr>
        <w:t>nformal</w:t>
      </w:r>
      <w:proofErr w:type="spellEnd"/>
      <w:r w:rsidRPr="00230631">
        <w:rPr>
          <w:rFonts w:eastAsia="Calibri"/>
          <w:b w:val="0"/>
        </w:rPr>
        <w:t xml:space="preserve"> </w:t>
      </w:r>
      <w:proofErr w:type="spellStart"/>
      <w:r w:rsidRPr="00230631">
        <w:rPr>
          <w:rFonts w:eastAsia="Calibri"/>
          <w:b w:val="0"/>
        </w:rPr>
        <w:t>investor</w:t>
      </w:r>
      <w:r w:rsidR="00230631">
        <w:rPr>
          <w:rFonts w:eastAsia="Calibri"/>
          <w:b w:val="0"/>
        </w:rPr>
        <w:t>s</w:t>
      </w:r>
      <w:proofErr w:type="spellEnd"/>
      <w:r w:rsidRPr="00230631">
        <w:rPr>
          <w:rFonts w:eastAsia="Calibri"/>
          <w:b w:val="0"/>
        </w:rPr>
        <w:t xml:space="preserve"> vra</w:t>
      </w:r>
      <w:r w:rsidR="00230631">
        <w:rPr>
          <w:rFonts w:eastAsia="Calibri"/>
          <w:b w:val="0"/>
        </w:rPr>
        <w:t>gen</w:t>
      </w:r>
      <w:r w:rsidRPr="00230631">
        <w:rPr>
          <w:rFonts w:eastAsia="Calibri"/>
          <w:b w:val="0"/>
        </w:rPr>
        <w:t xml:space="preserve"> voor</w:t>
      </w:r>
      <w:r w:rsidR="00230631" w:rsidRPr="00230631">
        <w:rPr>
          <w:rFonts w:eastAsia="Calibri"/>
          <w:b w:val="0"/>
        </w:rPr>
        <w:t xml:space="preserve"> </w:t>
      </w:r>
      <w:r w:rsidR="00230631">
        <w:rPr>
          <w:rFonts w:eastAsia="Calibri"/>
          <w:b w:val="0"/>
        </w:rPr>
        <w:t xml:space="preserve">hun </w:t>
      </w:r>
      <w:r w:rsidRPr="00230631">
        <w:rPr>
          <w:rFonts w:eastAsia="Calibri"/>
          <w:b w:val="0"/>
        </w:rPr>
        <w:t xml:space="preserve">investering meestal een hoog rentepercentage, gezien het hoge risico. </w:t>
      </w:r>
      <w:r w:rsidR="00230631">
        <w:rPr>
          <w:rFonts w:eastAsia="Calibri"/>
          <w:b w:val="0"/>
        </w:rPr>
        <w:t xml:space="preserve">Ze kunnen </w:t>
      </w:r>
      <w:r w:rsidRPr="00230631">
        <w:rPr>
          <w:rFonts w:eastAsia="Calibri"/>
          <w:b w:val="0"/>
        </w:rPr>
        <w:t>ook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 xml:space="preserve">een deel van het aandelenkapitaal als vergoeding vragen. </w:t>
      </w:r>
      <w:proofErr w:type="spellStart"/>
      <w:r w:rsidRPr="00230631">
        <w:rPr>
          <w:rFonts w:eastAsia="Calibri"/>
          <w:b w:val="0"/>
        </w:rPr>
        <w:t>Informal</w:t>
      </w:r>
      <w:proofErr w:type="spellEnd"/>
      <w:r w:rsidRPr="00230631">
        <w:rPr>
          <w:rFonts w:eastAsia="Calibri"/>
          <w:b w:val="0"/>
        </w:rPr>
        <w:t xml:space="preserve"> </w:t>
      </w:r>
      <w:proofErr w:type="spellStart"/>
      <w:r w:rsidRPr="00230631">
        <w:rPr>
          <w:rFonts w:eastAsia="Calibri"/>
          <w:b w:val="0"/>
        </w:rPr>
        <w:t>investors</w:t>
      </w:r>
      <w:proofErr w:type="spellEnd"/>
      <w:r w:rsidRPr="00230631">
        <w:rPr>
          <w:rFonts w:eastAsia="Calibri"/>
          <w:b w:val="0"/>
        </w:rPr>
        <w:t xml:space="preserve"> worden ook</w:t>
      </w:r>
      <w:r w:rsid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‘business angels’ genoemd.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</w:p>
    <w:p w:rsidR="00F0785D" w:rsidRPr="00230631" w:rsidRDefault="00467B73" w:rsidP="0026740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230631">
        <w:rPr>
          <w:rFonts w:eastAsia="Calibri"/>
          <w:b w:val="0"/>
        </w:rPr>
        <w:t>Ondernemingen maken meestal gebruik van meerdere financieringsvormen. Dit wordt</w:t>
      </w:r>
      <w:r w:rsidR="00230631" w:rsidRP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een financieringsmix genoemd. Omdat meerdere financieringsvormen worden</w:t>
      </w:r>
      <w:r w:rsidR="00230631">
        <w:rPr>
          <w:rFonts w:eastAsia="Calibri"/>
          <w:b w:val="0"/>
        </w:rPr>
        <w:t xml:space="preserve"> </w:t>
      </w:r>
      <w:r w:rsidRPr="00230631">
        <w:rPr>
          <w:rFonts w:eastAsia="Calibri"/>
          <w:b w:val="0"/>
        </w:rPr>
        <w:t>gestapeld, wordt dit ook wel stapelfinanciering genoemd.</w:t>
      </w:r>
    </w:p>
    <w:p w:rsidR="00F0785D" w:rsidRDefault="00F0785D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 xml:space="preserve">Opgave 12.17 </w:t>
      </w: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14.400 credit, het vermoedelijk oninbare bedrag.</w:t>
      </w:r>
    </w:p>
    <w:p w:rsidR="00413379" w:rsidRDefault="00413379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Stand 1 januari</w:t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15.200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Dotatie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89.100 + 3% x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3.180.000 -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210.000)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Onttrekking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91.900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12.400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Moet zijn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14.400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Extra dotatie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2.000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F0785D" w:rsidRDefault="00467B73" w:rsidP="00230631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 de winst-en-verliesrekening staat de dotatie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89.100 + extra dotatie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91.100 debet.</w:t>
      </w: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 xml:space="preserve">Opgave 12.18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Stel het factuurbedrag is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Dan moet er na 10 dagen betaald worden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1%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Of er wordt betaald na 40 dagen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Dus 30 dagen kost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Kosten per jaar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 / 30 x 360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procenten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99 x 100% = 12,12%</w:t>
      </w:r>
    </w:p>
    <w:p w:rsidR="002B6807" w:rsidRDefault="002B6807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Aangezien het bankkrediet 7,5% op jaarbasis kost, is het voordeliger om de leveranciers</w:t>
      </w:r>
      <w:r w:rsidR="002B6807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contant (binnen 10 dagen) te betalen en de dan ontstane vermogensbehoefte met bankkrediet te financieren.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12.19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>Leverancierskrediet.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  <w:szCs w:val="18"/>
        </w:rPr>
        <w:t>b.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</w:rPr>
        <w:t xml:space="preserve">Stel het factuurbedrag is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Dan moet na 8 dagen betaald worden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1%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Of er wordt betaald na 30 dagen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Dus 22 dagen kost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</w:t>
      </w:r>
      <w:bookmarkStart w:id="0" w:name="_GoBack"/>
      <w:bookmarkEnd w:id="0"/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Kosten per jaar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 / 22 x 360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16,363636…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procenten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16,363636…/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99 x 100% = 16,53%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 xml:space="preserve">Opgave 12.20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Stel het factuurbedrag is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Dan moet na 12 dagen betaald worden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2%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98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Of er wordt betaald na 30 dagen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Dus 28 dagen kost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Kosten per jaar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 / 28 x 360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25,7142…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procenten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25,7142…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98 x 100% = 26,24%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Stel het factuurbedrag is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Dan moet na 8 dagen betaald worden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1,5%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98,50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Of er wordt betaald na 30 dagen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Dus 22 dagen kost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1,50.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Kosten per jaar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1,50 / 22 x 360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24,54545454….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procenten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24,54545454…./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98,50 x 100% = 24,92%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F0785D" w:rsidRDefault="00467B73" w:rsidP="002B6807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>Door het verschil tussen de duur van het genoten en het verstrekte leverancierskrediet</w:t>
      </w:r>
      <w:r w:rsidR="002B6807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neemt de vermogensbehoefte van de onderneming toe. De onderneming zal</w:t>
      </w:r>
      <w:r w:rsidR="002B6807">
        <w:rPr>
          <w:rFonts w:eastAsia="Calibri"/>
          <w:b w:val="0"/>
          <w:szCs w:val="18"/>
        </w:rPr>
        <w:t xml:space="preserve"> </w:t>
      </w:r>
      <w:r w:rsidR="002B6807" w:rsidRPr="00461A38">
        <w:rPr>
          <w:rFonts w:eastAsia="Calibri"/>
          <w:b w:val="0"/>
          <w:szCs w:val="18"/>
        </w:rPr>
        <w:t xml:space="preserve">zelf financieringsmiddelen moeten vinden </w:t>
      </w:r>
      <w:r w:rsidRPr="00461A38">
        <w:rPr>
          <w:rFonts w:eastAsia="Calibri"/>
          <w:b w:val="0"/>
          <w:szCs w:val="18"/>
        </w:rPr>
        <w:t>voor het deel van de vorderingen op afnemers dat niet gedekt wordt door het genoten</w:t>
      </w:r>
      <w:r w:rsidR="002B6807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leverancierskrediet.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 w:val="2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Casus 12.1</w:t>
      </w:r>
    </w:p>
    <w:p w:rsidR="00467B73" w:rsidRPr="00461A38" w:rsidRDefault="00467B73" w:rsidP="0026740F">
      <w:pPr>
        <w:numPr>
          <w:ilvl w:val="0"/>
          <w:numId w:val="63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Jaar 2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jaar 27 = 25 jaar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3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(1 obligatie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200) / 25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48</w:t>
      </w:r>
    </w:p>
    <w:p w:rsidR="002B6807" w:rsidRDefault="002B6807">
      <w:pPr>
        <w:rPr>
          <w:rFonts w:eastAsia="Calibri"/>
          <w:b w:val="0"/>
        </w:rPr>
      </w:pPr>
      <w:r>
        <w:rPr>
          <w:rFonts w:eastAsia="Calibri"/>
          <w:b w:val="0"/>
        </w:rPr>
        <w:br w:type="page"/>
      </w:r>
    </w:p>
    <w:p w:rsidR="00467B73" w:rsidRPr="00461A38" w:rsidRDefault="00467B73" w:rsidP="0026740F">
      <w:pPr>
        <w:numPr>
          <w:ilvl w:val="0"/>
          <w:numId w:val="63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>Berekening winst na belasting</w:t>
      </w:r>
    </w:p>
    <w:tbl>
      <w:tblPr>
        <w:tblStyle w:val="Tabelraster4"/>
        <w:tblW w:w="8970" w:type="dxa"/>
        <w:tblInd w:w="284" w:type="dxa"/>
        <w:tblLook w:val="04A0" w:firstRow="1" w:lastRow="0" w:firstColumn="1" w:lastColumn="0" w:noHBand="0" w:noVBand="1"/>
      </w:tblPr>
      <w:tblGrid>
        <w:gridCol w:w="1696"/>
        <w:gridCol w:w="1454"/>
        <w:gridCol w:w="1455"/>
        <w:gridCol w:w="1455"/>
        <w:gridCol w:w="1455"/>
        <w:gridCol w:w="1455"/>
      </w:tblGrid>
      <w:tr w:rsidR="00467B73" w:rsidRPr="00C2276B" w:rsidTr="00EB4B47">
        <w:tc>
          <w:tcPr>
            <w:tcW w:w="1696" w:type="dxa"/>
          </w:tcPr>
          <w:p w:rsidR="00467B73" w:rsidRPr="002B6807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4" w:type="dxa"/>
          </w:tcPr>
          <w:p w:rsidR="00467B73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2B680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455" w:type="dxa"/>
          </w:tcPr>
          <w:p w:rsidR="00467B73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2B6807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455" w:type="dxa"/>
          </w:tcPr>
          <w:p w:rsidR="00467B73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2B6807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455" w:type="dxa"/>
          </w:tcPr>
          <w:p w:rsidR="00467B73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2B6807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1455" w:type="dxa"/>
          </w:tcPr>
          <w:p w:rsidR="00467B73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2B6807"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467B73" w:rsidRPr="00C2276B" w:rsidTr="00EB4B47">
        <w:tc>
          <w:tcPr>
            <w:tcW w:w="1696" w:type="dxa"/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454" w:type="dxa"/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5.000.000</w:t>
            </w:r>
          </w:p>
        </w:tc>
        <w:tc>
          <w:tcPr>
            <w:tcW w:w="1455" w:type="dxa"/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455" w:type="dxa"/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7.500.000</w:t>
            </w:r>
          </w:p>
        </w:tc>
        <w:tc>
          <w:tcPr>
            <w:tcW w:w="1455" w:type="dxa"/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455" w:type="dxa"/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4.500.000</w:t>
            </w:r>
          </w:p>
        </w:tc>
      </w:tr>
      <w:tr w:rsidR="00467B73" w:rsidRPr="00C2276B" w:rsidTr="00EB4B47">
        <w:tc>
          <w:tcPr>
            <w:tcW w:w="1696" w:type="dxa"/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>Kosten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2.500.000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2.650.000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2.800.000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2.950.000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3.100.000</w:t>
            </w:r>
          </w:p>
        </w:tc>
      </w:tr>
      <w:tr w:rsidR="00467B73" w:rsidRPr="00C2276B" w:rsidTr="00EB4B47">
        <w:tc>
          <w:tcPr>
            <w:tcW w:w="1696" w:type="dxa"/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454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</w:tr>
      <w:tr w:rsidR="00467B73" w:rsidRPr="00C2276B" w:rsidTr="00EB4B47">
        <w:tc>
          <w:tcPr>
            <w:tcW w:w="1696" w:type="dxa"/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 xml:space="preserve">Winst voor </w:t>
            </w:r>
            <w:proofErr w:type="spellStart"/>
            <w:r w:rsidRPr="00C2276B">
              <w:rPr>
                <w:rFonts w:ascii="Arial" w:eastAsia="Calibri" w:hAnsi="Arial" w:cs="Arial"/>
              </w:rPr>
              <w:t>vpb</w:t>
            </w:r>
            <w:proofErr w:type="spellEnd"/>
          </w:p>
        </w:tc>
        <w:tc>
          <w:tcPr>
            <w:tcW w:w="1454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1.400.000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2.250.000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3.600.000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1.950.000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300.000</w:t>
            </w:r>
          </w:p>
        </w:tc>
      </w:tr>
      <w:tr w:rsidR="00467B73" w:rsidRPr="00C2276B" w:rsidTr="00EB4B47">
        <w:tc>
          <w:tcPr>
            <w:tcW w:w="1696" w:type="dxa"/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proofErr w:type="spellStart"/>
            <w:r w:rsidRPr="00C2276B">
              <w:rPr>
                <w:rFonts w:ascii="Arial" w:eastAsia="Calibri" w:hAnsi="Arial" w:cs="Arial"/>
              </w:rPr>
              <w:t>Vpb</w:t>
            </w:r>
            <w:proofErr w:type="spellEnd"/>
          </w:p>
        </w:tc>
        <w:tc>
          <w:tcPr>
            <w:tcW w:w="1454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280.000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450.000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720.000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390.000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  60.000</w:t>
            </w:r>
          </w:p>
        </w:tc>
      </w:tr>
      <w:tr w:rsidR="00467B73" w:rsidRPr="00C2276B" w:rsidTr="00EB4B47">
        <w:tc>
          <w:tcPr>
            <w:tcW w:w="1696" w:type="dxa"/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 xml:space="preserve">Winst na </w:t>
            </w:r>
            <w:proofErr w:type="spellStart"/>
            <w:r w:rsidRPr="00C2276B">
              <w:rPr>
                <w:rFonts w:ascii="Arial" w:eastAsia="Calibri" w:hAnsi="Arial" w:cs="Arial"/>
              </w:rPr>
              <w:t>vpb</w:t>
            </w:r>
            <w:proofErr w:type="spellEnd"/>
          </w:p>
        </w:tc>
        <w:tc>
          <w:tcPr>
            <w:tcW w:w="1454" w:type="dxa"/>
            <w:tcBorders>
              <w:top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1.120.000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1.800.000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2.880.000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1.560.000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240.000</w:t>
            </w:r>
          </w:p>
        </w:tc>
      </w:tr>
    </w:tbl>
    <w:p w:rsidR="00C2276B" w:rsidRDefault="00467B73" w:rsidP="0026740F">
      <w:pPr>
        <w:spacing w:after="0" w:line="240" w:lineRule="auto"/>
        <w:ind w:left="284" w:firstLine="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winst </w:t>
      </w:r>
    </w:p>
    <w:p w:rsidR="00467B73" w:rsidRPr="00461A38" w:rsidRDefault="00467B73" w:rsidP="0026740F">
      <w:pPr>
        <w:spacing w:after="0" w:line="240" w:lineRule="auto"/>
        <w:ind w:left="284" w:firstLine="4"/>
        <w:rPr>
          <w:rFonts w:eastAsia="Calibri"/>
          <w:b w:val="0"/>
        </w:rPr>
      </w:pPr>
      <w:r w:rsidRPr="00461A38">
        <w:rPr>
          <w:rFonts w:eastAsia="Calibri"/>
          <w:b w:val="0"/>
        </w:rPr>
        <w:t>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1.120.000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1.800.000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2.880.000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1.560.000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240.000) / 5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1.520.000.</w:t>
      </w:r>
    </w:p>
    <w:p w:rsidR="00467B73" w:rsidRPr="00461A38" w:rsidRDefault="00467B73" w:rsidP="0026740F">
      <w:pPr>
        <w:spacing w:after="0" w:line="240" w:lineRule="auto"/>
        <w:ind w:left="284" w:firstLine="4"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geïnvesteerd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6.200.000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3.450.000.</w:t>
      </w:r>
    </w:p>
    <w:p w:rsidR="00467B73" w:rsidRPr="00461A38" w:rsidRDefault="00467B73" w:rsidP="0026740F">
      <w:pPr>
        <w:spacing w:after="0" w:line="240" w:lineRule="auto"/>
        <w:ind w:left="284" w:firstLine="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GBR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1.520.000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3.450.000 x 100% = 44,06%</w:t>
      </w:r>
    </w:p>
    <w:p w:rsidR="00467B73" w:rsidRPr="00461A38" w:rsidRDefault="00467B73" w:rsidP="0026740F">
      <w:pPr>
        <w:spacing w:after="0" w:line="240" w:lineRule="auto"/>
        <w:ind w:left="284" w:firstLine="4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3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De </w:t>
      </w:r>
      <w:r w:rsidR="00C2276B">
        <w:rPr>
          <w:rFonts w:eastAsia="Calibri"/>
          <w:b w:val="0"/>
        </w:rPr>
        <w:t>GBR</w:t>
      </w:r>
      <w:r w:rsidRPr="00461A38">
        <w:rPr>
          <w:rFonts w:eastAsia="Calibri"/>
          <w:b w:val="0"/>
        </w:rPr>
        <w:t xml:space="preserve"> is 44,06% en daarmee kan Like </w:t>
      </w:r>
      <w:r w:rsidR="00C2276B">
        <w:rPr>
          <w:rFonts w:eastAsia="Calibri"/>
          <w:b w:val="0"/>
        </w:rPr>
        <w:t>nv</w:t>
      </w:r>
      <w:r w:rsidRPr="00461A38">
        <w:rPr>
          <w:rFonts w:eastAsia="Calibri"/>
          <w:b w:val="0"/>
        </w:rPr>
        <w:t xml:space="preserve"> overgaan tot uitvoering van het project.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3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Berekening cashflow</w:t>
      </w:r>
    </w:p>
    <w:tbl>
      <w:tblPr>
        <w:tblStyle w:val="Tabelraster4"/>
        <w:tblW w:w="8970" w:type="dxa"/>
        <w:tblInd w:w="284" w:type="dxa"/>
        <w:tblLook w:val="04A0" w:firstRow="1" w:lastRow="0" w:firstColumn="1" w:lastColumn="0" w:noHBand="0" w:noVBand="1"/>
      </w:tblPr>
      <w:tblGrid>
        <w:gridCol w:w="1696"/>
        <w:gridCol w:w="1454"/>
        <w:gridCol w:w="1455"/>
        <w:gridCol w:w="1455"/>
        <w:gridCol w:w="1455"/>
        <w:gridCol w:w="1455"/>
      </w:tblGrid>
      <w:tr w:rsidR="002B6807" w:rsidRPr="00C2276B" w:rsidTr="00EB4B47">
        <w:tc>
          <w:tcPr>
            <w:tcW w:w="1696" w:type="dxa"/>
          </w:tcPr>
          <w:p w:rsidR="002B6807" w:rsidRPr="002B6807" w:rsidRDefault="002B6807" w:rsidP="002B6807">
            <w:pPr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4" w:type="dxa"/>
          </w:tcPr>
          <w:p w:rsidR="002B6807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455" w:type="dxa"/>
          </w:tcPr>
          <w:p w:rsidR="002B6807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>Jaar 5</w:t>
            </w:r>
          </w:p>
        </w:tc>
        <w:tc>
          <w:tcPr>
            <w:tcW w:w="1455" w:type="dxa"/>
          </w:tcPr>
          <w:p w:rsidR="002B6807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>Jaar 6</w:t>
            </w:r>
          </w:p>
        </w:tc>
        <w:tc>
          <w:tcPr>
            <w:tcW w:w="1455" w:type="dxa"/>
          </w:tcPr>
          <w:p w:rsidR="002B6807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>Jaar 7</w:t>
            </w:r>
          </w:p>
        </w:tc>
        <w:tc>
          <w:tcPr>
            <w:tcW w:w="1455" w:type="dxa"/>
          </w:tcPr>
          <w:p w:rsidR="002B6807" w:rsidRPr="002B6807" w:rsidRDefault="002B6807" w:rsidP="002B6807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2B6807">
              <w:rPr>
                <w:rFonts w:ascii="Arial" w:eastAsia="Calibri" w:hAnsi="Arial" w:cs="Arial"/>
                <w:b/>
              </w:rPr>
              <w:t>Jaar 8</w:t>
            </w:r>
          </w:p>
        </w:tc>
      </w:tr>
      <w:tr w:rsidR="00467B73" w:rsidRPr="00C2276B" w:rsidTr="00EB4B47">
        <w:tc>
          <w:tcPr>
            <w:tcW w:w="1696" w:type="dxa"/>
            <w:tcBorders>
              <w:bottom w:val="single" w:sz="4" w:space="0" w:color="auto"/>
            </w:tcBorders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 xml:space="preserve">Winst na </w:t>
            </w:r>
            <w:proofErr w:type="spellStart"/>
            <w:r w:rsidRPr="00C2276B">
              <w:rPr>
                <w:rFonts w:ascii="Arial" w:eastAsia="Calibri" w:hAnsi="Arial" w:cs="Arial"/>
              </w:rPr>
              <w:t>vpb</w:t>
            </w:r>
            <w:proofErr w:type="spellEnd"/>
          </w:p>
        </w:tc>
        <w:tc>
          <w:tcPr>
            <w:tcW w:w="1454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1.120.000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1.800.000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2.880.000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1.560.000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240.000</w:t>
            </w:r>
          </w:p>
        </w:tc>
      </w:tr>
      <w:tr w:rsidR="00467B73" w:rsidRPr="00C2276B" w:rsidTr="00EB4B47">
        <w:tc>
          <w:tcPr>
            <w:tcW w:w="1696" w:type="dxa"/>
            <w:tcBorders>
              <w:bottom w:val="single" w:sz="4" w:space="0" w:color="auto"/>
            </w:tcBorders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1.100.000</w:t>
            </w:r>
          </w:p>
        </w:tc>
      </w:tr>
      <w:tr w:rsidR="00467B73" w:rsidRPr="00C2276B" w:rsidTr="00EB4B47">
        <w:tc>
          <w:tcPr>
            <w:tcW w:w="1696" w:type="dxa"/>
            <w:tcBorders>
              <w:top w:val="single" w:sz="4" w:space="0" w:color="auto"/>
            </w:tcBorders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>Restwaarde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</w:tcPr>
          <w:p w:rsidR="00467B73" w:rsidRPr="00C2276B" w:rsidRDefault="00467B7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:rsidR="00467B73" w:rsidRPr="00C2276B" w:rsidRDefault="00467B7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:rsidR="00467B73" w:rsidRPr="00C2276B" w:rsidRDefault="00467B7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:rsidR="00467B73" w:rsidRPr="00C2276B" w:rsidRDefault="00467B7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 xml:space="preserve">   700.000</w:t>
            </w:r>
          </w:p>
        </w:tc>
      </w:tr>
      <w:tr w:rsidR="00467B73" w:rsidRPr="00C2276B" w:rsidTr="00EB4B47">
        <w:tc>
          <w:tcPr>
            <w:tcW w:w="1696" w:type="dxa"/>
          </w:tcPr>
          <w:p w:rsidR="00467B73" w:rsidRPr="00C2276B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C2276B">
              <w:rPr>
                <w:rFonts w:ascii="Arial" w:eastAsia="Calibri" w:hAnsi="Arial" w:cs="Arial"/>
              </w:rPr>
              <w:t>Cashflow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2.220.000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2.900.000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3.980.000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2.660.000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</w:tcPr>
          <w:p w:rsidR="00467B73" w:rsidRPr="00C2276B" w:rsidRDefault="00396BD3" w:rsidP="002B6807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C2276B">
              <w:rPr>
                <w:rFonts w:ascii="Arial" w:eastAsia="Calibri" w:hAnsi="Arial" w:cs="Arial"/>
              </w:rPr>
              <w:t>2.040.000</w:t>
            </w:r>
          </w:p>
        </w:tc>
      </w:tr>
    </w:tbl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ind w:left="284" w:firstLine="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NCW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2.220.000 x 1,16</w:t>
      </w:r>
      <w:r w:rsidRPr="00461A38">
        <w:rPr>
          <w:rFonts w:eastAsia="Calibri"/>
          <w:b w:val="0"/>
          <w:vertAlign w:val="superscript"/>
        </w:rPr>
        <w:t>-1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2.900.000 x 1,16</w:t>
      </w:r>
      <w:r w:rsidRPr="00461A38">
        <w:rPr>
          <w:rFonts w:eastAsia="Calibri"/>
          <w:b w:val="0"/>
          <w:vertAlign w:val="superscript"/>
        </w:rPr>
        <w:t xml:space="preserve">-2 </w:t>
      </w:r>
      <w:r w:rsidRPr="00461A38">
        <w:rPr>
          <w:rFonts w:eastAsia="Calibri"/>
          <w:b w:val="0"/>
        </w:rPr>
        <w:t xml:space="preserve">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3.980.000 x 1,16</w:t>
      </w:r>
      <w:r w:rsidRPr="00461A38">
        <w:rPr>
          <w:rFonts w:eastAsia="Calibri"/>
          <w:b w:val="0"/>
          <w:vertAlign w:val="superscript"/>
        </w:rPr>
        <w:t xml:space="preserve">-3 </w:t>
      </w:r>
      <w:r w:rsidRPr="00461A38">
        <w:rPr>
          <w:rFonts w:eastAsia="Calibri"/>
          <w:b w:val="0"/>
        </w:rPr>
        <w:t xml:space="preserve">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2.660.000 x 1,16</w:t>
      </w:r>
      <w:r w:rsidRPr="00461A38">
        <w:rPr>
          <w:rFonts w:eastAsia="Calibri"/>
          <w:b w:val="0"/>
          <w:vertAlign w:val="superscript"/>
        </w:rPr>
        <w:t xml:space="preserve">-4 </w:t>
      </w:r>
      <w:r w:rsidRPr="00461A38">
        <w:rPr>
          <w:rFonts w:eastAsia="Calibri"/>
          <w:b w:val="0"/>
        </w:rPr>
        <w:t xml:space="preserve">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2.040.000 x 1,16</w:t>
      </w:r>
      <w:r w:rsidRPr="00461A38">
        <w:rPr>
          <w:rFonts w:eastAsia="Calibri"/>
          <w:b w:val="0"/>
          <w:vertAlign w:val="superscript"/>
        </w:rPr>
        <w:t>-5</w:t>
      </w:r>
      <w:r w:rsidRPr="00461A38">
        <w:rPr>
          <w:rFonts w:eastAsia="Calibri"/>
          <w:b w:val="0"/>
        </w:rPr>
        <w:t xml:space="preserve">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7.200.000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1.859.148.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3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Het project is aanvaardbaar want de NCW is positief.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24D10" w:rsidRPr="00461A38" w:rsidRDefault="00424D10" w:rsidP="007E275A">
      <w:pPr>
        <w:spacing w:after="0" w:line="240" w:lineRule="auto"/>
        <w:rPr>
          <w:b w:val="0"/>
        </w:rPr>
      </w:pP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13" w:rsidRDefault="005F6B13" w:rsidP="006540DA">
      <w:pPr>
        <w:spacing w:after="0" w:line="240" w:lineRule="auto"/>
      </w:pPr>
      <w:r>
        <w:separator/>
      </w:r>
    </w:p>
  </w:endnote>
  <w:endnote w:type="continuationSeparator" w:id="0">
    <w:p w:rsidR="005F6B13" w:rsidRDefault="005F6B13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13" w:rsidRDefault="005F6B13" w:rsidP="006540DA">
      <w:pPr>
        <w:spacing w:after="0" w:line="240" w:lineRule="auto"/>
      </w:pPr>
      <w:r>
        <w:separator/>
      </w:r>
    </w:p>
  </w:footnote>
  <w:footnote w:type="continuationSeparator" w:id="0">
    <w:p w:rsidR="005F6B13" w:rsidRDefault="005F6B13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75A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7E275A">
      <w:rPr>
        <w:i/>
      </w:rPr>
      <w:t xml:space="preserve"> hoofdstuk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5F6B13"/>
    <w:rsid w:val="00605094"/>
    <w:rsid w:val="00613883"/>
    <w:rsid w:val="00614EA7"/>
    <w:rsid w:val="00621357"/>
    <w:rsid w:val="0063494B"/>
    <w:rsid w:val="006459C0"/>
    <w:rsid w:val="00646412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E275A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5FEE4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2019-02-02T12:09:00Z</dcterms:created>
  <dcterms:modified xsi:type="dcterms:W3CDTF">2019-02-02T12:10:00Z</dcterms:modified>
</cp:coreProperties>
</file>